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84A61" w14:textId="77777777" w:rsidR="00EA3FC9" w:rsidRDefault="00EA3FC9" w:rsidP="00EA3FC9">
      <w:pPr>
        <w:pStyle w:val="Nzev"/>
        <w:spacing w:before="360"/>
        <w:jc w:val="center"/>
        <w:rPr>
          <w:sz w:val="32"/>
          <w:szCs w:val="32"/>
        </w:rPr>
      </w:pPr>
    </w:p>
    <w:p w14:paraId="619C8BCC" w14:textId="0B81BACF" w:rsidR="00EA3FC9" w:rsidRDefault="00EA3FC9" w:rsidP="00EA3FC9">
      <w:pPr>
        <w:pStyle w:val="Nzev"/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SPECIFIKACE LABORATORNÍCH SLUŽEB</w:t>
      </w:r>
    </w:p>
    <w:p w14:paraId="4DAC0B3E" w14:textId="0D54430A" w:rsidR="00EA3FC9" w:rsidRPr="00CB1040" w:rsidRDefault="00EA3FC9" w:rsidP="00EA3FC9">
      <w:pPr>
        <w:jc w:val="center"/>
        <w:rPr>
          <w:b/>
          <w:bCs/>
        </w:rPr>
      </w:pPr>
      <w:r w:rsidRPr="00CB1040">
        <w:rPr>
          <w:b/>
          <w:bCs/>
        </w:rPr>
        <w:t>část 1 VZ – Laboratorní služby Karlovy Vary (</w:t>
      </w:r>
      <w:r w:rsidR="004146F9" w:rsidRPr="00CB1040">
        <w:rPr>
          <w:b/>
          <w:bCs/>
        </w:rPr>
        <w:t>O</w:t>
      </w:r>
      <w:r w:rsidRPr="00CB1040">
        <w:rPr>
          <w:b/>
          <w:bCs/>
        </w:rPr>
        <w:t xml:space="preserve">bjektivizace účinku </w:t>
      </w:r>
      <w:r w:rsidR="007B0475" w:rsidRPr="00CB1040">
        <w:rPr>
          <w:b/>
          <w:bCs/>
        </w:rPr>
        <w:t>komplexní lázeňské léčebně rehabilitační péče</w:t>
      </w:r>
      <w:r w:rsidR="003B473B" w:rsidRPr="00CB1040">
        <w:rPr>
          <w:b/>
          <w:bCs/>
        </w:rPr>
        <w:t xml:space="preserve"> </w:t>
      </w:r>
      <w:r w:rsidRPr="00CB1040">
        <w:rPr>
          <w:b/>
          <w:bCs/>
        </w:rPr>
        <w:t xml:space="preserve">na </w:t>
      </w:r>
      <w:r w:rsidR="007B0475" w:rsidRPr="00CB1040">
        <w:rPr>
          <w:b/>
          <w:bCs/>
        </w:rPr>
        <w:t xml:space="preserve">onemocnění a chronické komplikace </w:t>
      </w:r>
      <w:r w:rsidRPr="00CB1040">
        <w:rPr>
          <w:b/>
          <w:bCs/>
        </w:rPr>
        <w:t>diabetes mellitus 2. typu</w:t>
      </w:r>
      <w:r w:rsidR="007B0475" w:rsidRPr="00CB1040">
        <w:rPr>
          <w:b/>
          <w:bCs/>
        </w:rPr>
        <w:t>, prevenci a progrese</w:t>
      </w:r>
      <w:r w:rsidRPr="00CB1040">
        <w:rPr>
          <w:b/>
          <w:bCs/>
        </w:rPr>
        <w:t xml:space="preserve"> steatóz</w:t>
      </w:r>
      <w:r w:rsidR="007B0475" w:rsidRPr="00CB1040">
        <w:rPr>
          <w:b/>
          <w:bCs/>
        </w:rPr>
        <w:t>y</w:t>
      </w:r>
      <w:r w:rsidRPr="00CB1040">
        <w:rPr>
          <w:b/>
          <w:bCs/>
        </w:rPr>
        <w:t xml:space="preserve"> jaterní)</w:t>
      </w:r>
    </w:p>
    <w:p w14:paraId="5C382635" w14:textId="77777777" w:rsidR="00EA3FC9" w:rsidRPr="00CB1040" w:rsidRDefault="00EA3FC9" w:rsidP="00EA3FC9">
      <w:pPr>
        <w:pStyle w:val="Nzev"/>
        <w:spacing w:after="0"/>
        <w:jc w:val="left"/>
        <w:rPr>
          <w:rFonts w:asciiTheme="minorHAnsi" w:hAnsiTheme="minorHAnsi"/>
          <w:sz w:val="24"/>
          <w:szCs w:val="24"/>
        </w:rPr>
      </w:pPr>
    </w:p>
    <w:p w14:paraId="711EB38A" w14:textId="77777777" w:rsidR="00EA3FC9" w:rsidRPr="00CB1040" w:rsidRDefault="00EA3FC9" w:rsidP="00EA3FC9">
      <w:pPr>
        <w:tabs>
          <w:tab w:val="left" w:pos="426"/>
        </w:tabs>
        <w:spacing w:after="60" w:line="240" w:lineRule="auto"/>
        <w:rPr>
          <w:b/>
          <w:bCs/>
        </w:rPr>
      </w:pPr>
      <w:r w:rsidRPr="00CB1040">
        <w:rPr>
          <w:b/>
          <w:bCs/>
        </w:rPr>
        <w:t>Základní popis předmětu zakázky</w:t>
      </w:r>
    </w:p>
    <w:p w14:paraId="41DAB1BD" w14:textId="03CBFC6A" w:rsidR="00EA3FC9" w:rsidRPr="00CB1040" w:rsidRDefault="00EA3FC9" w:rsidP="00EA3FC9">
      <w:pPr>
        <w:tabs>
          <w:tab w:val="left" w:pos="0"/>
        </w:tabs>
        <w:spacing w:line="240" w:lineRule="auto"/>
      </w:pPr>
      <w:r w:rsidRPr="00CB1040">
        <w:t xml:space="preserve">Zajištění kompletních služeb laboratorní diagnostiky </w:t>
      </w:r>
      <w:r w:rsidRPr="00CB1040">
        <w:rPr>
          <w:u w:val="single"/>
        </w:rPr>
        <w:t>u pacientů</w:t>
      </w:r>
      <w:r w:rsidRPr="00CB1040">
        <w:t xml:space="preserve"> s předepsanou komplexní lázeňskou léčebně rehabilitační péčí (dále jen „KLP“), </w:t>
      </w:r>
      <w:r w:rsidRPr="00CB1040">
        <w:rPr>
          <w:u w:val="single"/>
        </w:rPr>
        <w:t>zařazených do</w:t>
      </w:r>
      <w:r w:rsidR="00BE0EFA" w:rsidRPr="00CB1040">
        <w:rPr>
          <w:u w:val="single"/>
        </w:rPr>
        <w:t xml:space="preserve"> </w:t>
      </w:r>
      <w:r w:rsidRPr="00CB1040">
        <w:rPr>
          <w:u w:val="single"/>
        </w:rPr>
        <w:t>výzkumn</w:t>
      </w:r>
      <w:r w:rsidR="00BE0EFA" w:rsidRPr="00CB1040">
        <w:rPr>
          <w:u w:val="single"/>
        </w:rPr>
        <w:t>é</w:t>
      </w:r>
      <w:r w:rsidRPr="00CB1040">
        <w:rPr>
          <w:u w:val="single"/>
        </w:rPr>
        <w:t xml:space="preserve"> studi</w:t>
      </w:r>
      <w:r w:rsidR="00BE0EFA" w:rsidRPr="00CB1040">
        <w:rPr>
          <w:u w:val="single"/>
        </w:rPr>
        <w:t>e</w:t>
      </w:r>
      <w:r w:rsidRPr="00CB1040">
        <w:t>, kter</w:t>
      </w:r>
      <w:r w:rsidR="00BE0EFA" w:rsidRPr="00CB1040">
        <w:t>á</w:t>
      </w:r>
      <w:r w:rsidRPr="00CB1040">
        <w:t xml:space="preserve"> bud</w:t>
      </w:r>
      <w:r w:rsidR="00BE0EFA" w:rsidRPr="00CB1040">
        <w:t>e</w:t>
      </w:r>
      <w:r w:rsidRPr="00CB1040">
        <w:t xml:space="preserve"> prováděn</w:t>
      </w:r>
      <w:r w:rsidR="00BE0EFA" w:rsidRPr="00CB1040">
        <w:t>a</w:t>
      </w:r>
      <w:r w:rsidRPr="00CB1040">
        <w:t xml:space="preserve"> ve vybran</w:t>
      </w:r>
      <w:r w:rsidR="00BE0EFA" w:rsidRPr="00CB1040">
        <w:t>ém</w:t>
      </w:r>
      <w:r w:rsidRPr="00CB1040">
        <w:t> lázeňsk</w:t>
      </w:r>
      <w:r w:rsidR="00BE0EFA" w:rsidRPr="00CB1040">
        <w:t>ém</w:t>
      </w:r>
      <w:r w:rsidRPr="00CB1040">
        <w:t xml:space="preserve"> zařízení v Karlových Varech.</w:t>
      </w:r>
    </w:p>
    <w:p w14:paraId="7DE17C31" w14:textId="563CAEAD" w:rsidR="00EA3FC9" w:rsidRDefault="00EA3FC9" w:rsidP="00EA3FC9">
      <w:pPr>
        <w:tabs>
          <w:tab w:val="left" w:pos="0"/>
        </w:tabs>
        <w:spacing w:line="240" w:lineRule="auto"/>
      </w:pPr>
      <w:r w:rsidRPr="00CB1040">
        <w:t xml:space="preserve">Předávání </w:t>
      </w:r>
      <w:proofErr w:type="spellStart"/>
      <w:r w:rsidRPr="00CB1040">
        <w:rPr>
          <w:b/>
          <w:bCs/>
          <w:u w:val="single"/>
        </w:rPr>
        <w:t>pseudonymizovaných</w:t>
      </w:r>
      <w:proofErr w:type="spellEnd"/>
      <w:r w:rsidRPr="00CB1040">
        <w:t xml:space="preserve"> dat, dle vzájemně odsouhlaseného harmonogramu</w:t>
      </w:r>
      <w:r w:rsidRPr="005A6CE7">
        <w:t>, Institutu lázeňství a</w:t>
      </w:r>
      <w:r>
        <w:t> </w:t>
      </w:r>
      <w:r w:rsidRPr="005A6CE7">
        <w:t>balneologie, v.v.i. (dále jen „ILaB“)</w:t>
      </w:r>
      <w:r>
        <w:t>, a to ve formátu standardní souhrnné laboratorní zprávy (.pdf) a dále v předem odsouhlaseném formátu .xls(x)</w:t>
      </w:r>
      <w:r w:rsidR="007B0475">
        <w:t xml:space="preserve"> (nebo .csv)</w:t>
      </w:r>
      <w:r>
        <w:t xml:space="preserve">. Všechna data předávaná ILaBu, musí být </w:t>
      </w:r>
      <w:r>
        <w:rPr>
          <w:b/>
          <w:bCs/>
          <w:u w:val="single"/>
        </w:rPr>
        <w:t>pseudonymizovaná</w:t>
      </w:r>
      <w:r>
        <w:t xml:space="preserve"> – tedy opatřena pouze „ID kódy“ jednotlivých pacientů, které bude předávat dané lázeňské zařízení. Laboratoř zodpovídá za správné použití ID kódů pacienta a je její zodpovědností, že nedojde k záměně.</w:t>
      </w:r>
    </w:p>
    <w:p w14:paraId="4AF75696" w14:textId="5BF6211B" w:rsidR="00EA3FC9" w:rsidRPr="00030F3F" w:rsidRDefault="00F63882" w:rsidP="00EA3FC9">
      <w:pPr>
        <w:tabs>
          <w:tab w:val="left" w:pos="0"/>
        </w:tabs>
        <w:spacing w:after="0" w:line="240" w:lineRule="auto"/>
      </w:pPr>
      <w:r>
        <w:t xml:space="preserve"> </w:t>
      </w:r>
      <w:bookmarkStart w:id="0" w:name="_Hlk191670025"/>
      <w:r>
        <w:t>Včasné vyzvednutí a řádný odvoz vzorků z vybraného lázeňského zařízení v Karlových Varech nejpozději do 24 hodin od objednání laboratorních služeb.</w:t>
      </w:r>
      <w:bookmarkEnd w:id="0"/>
    </w:p>
    <w:p w14:paraId="42174186" w14:textId="77777777" w:rsidR="00CB1040" w:rsidRDefault="00CB1040" w:rsidP="00EA3FC9">
      <w:pPr>
        <w:tabs>
          <w:tab w:val="left" w:pos="426"/>
        </w:tabs>
        <w:spacing w:after="60" w:line="240" w:lineRule="auto"/>
        <w:ind w:left="425" w:hanging="425"/>
        <w:rPr>
          <w:b/>
          <w:bCs/>
        </w:rPr>
      </w:pPr>
    </w:p>
    <w:p w14:paraId="0DC1A225" w14:textId="19E35A98" w:rsidR="00EA3FC9" w:rsidRPr="005A6CE7" w:rsidRDefault="00EA3FC9" w:rsidP="00EA3FC9">
      <w:pPr>
        <w:tabs>
          <w:tab w:val="left" w:pos="426"/>
        </w:tabs>
        <w:spacing w:after="60" w:line="240" w:lineRule="auto"/>
        <w:ind w:left="425" w:hanging="425"/>
        <w:rPr>
          <w:b/>
          <w:bCs/>
        </w:rPr>
      </w:pPr>
      <w:r w:rsidRPr="005A6CE7">
        <w:rPr>
          <w:b/>
          <w:bCs/>
        </w:rPr>
        <w:t>Podrobný popis zakázky</w:t>
      </w:r>
    </w:p>
    <w:p w14:paraId="58761D43" w14:textId="7AE972E9" w:rsidR="00EA3FC9" w:rsidRDefault="00EA3FC9" w:rsidP="00EA3FC9">
      <w:pPr>
        <w:tabs>
          <w:tab w:val="left" w:pos="0"/>
        </w:tabs>
        <w:spacing w:line="240" w:lineRule="auto"/>
      </w:pPr>
      <w:r>
        <w:t>Předmětem zakázky je z</w:t>
      </w:r>
      <w:r w:rsidRPr="005A6CE7">
        <w:t>ajištění kompletních služeb laboratorní diagnostiky u pacientů s</w:t>
      </w:r>
      <w:r>
        <w:t> </w:t>
      </w:r>
      <w:r w:rsidRPr="005A6CE7">
        <w:t xml:space="preserve">předepsanou </w:t>
      </w:r>
      <w:r>
        <w:t>KLP, zařazených do výzkumn</w:t>
      </w:r>
      <w:r w:rsidR="00CB1040">
        <w:t>é</w:t>
      </w:r>
      <w:r>
        <w:t xml:space="preserve"> studi</w:t>
      </w:r>
      <w:r w:rsidR="00CB1040">
        <w:t>e</w:t>
      </w:r>
      <w:r>
        <w:t>, kter</w:t>
      </w:r>
      <w:r w:rsidR="00CB1040">
        <w:t>á</w:t>
      </w:r>
      <w:r>
        <w:t xml:space="preserve"> bud</w:t>
      </w:r>
      <w:r w:rsidR="00CB1040">
        <w:t>e</w:t>
      </w:r>
      <w:r>
        <w:t xml:space="preserve"> prováděn</w:t>
      </w:r>
      <w:r w:rsidR="00CB1040">
        <w:t>a</w:t>
      </w:r>
      <w:r w:rsidRPr="005A6CE7">
        <w:t xml:space="preserve"> v</w:t>
      </w:r>
      <w:r>
        <w:t>e vybran</w:t>
      </w:r>
      <w:r w:rsidR="00CB1040">
        <w:t>ém</w:t>
      </w:r>
      <w:r>
        <w:t xml:space="preserve"> lázeňsk</w:t>
      </w:r>
      <w:r w:rsidR="00CB1040">
        <w:t>ém</w:t>
      </w:r>
      <w:r>
        <w:t xml:space="preserve"> zařízení v </w:t>
      </w:r>
      <w:r w:rsidRPr="005A6CE7">
        <w:t>Karlových Varech</w:t>
      </w:r>
      <w:r>
        <w:t xml:space="preserve">. Zadavatelem klinických studií je ILaB, výběr jednotlivých lázeňských zařízení bude realizován formou zadávacích řízení. Vysoutěžená laboratoř bude o výsledku těchto řízení </w:t>
      </w:r>
      <w:proofErr w:type="spellStart"/>
      <w:r>
        <w:t>ILaBem</w:t>
      </w:r>
      <w:proofErr w:type="spellEnd"/>
      <w:r>
        <w:t xml:space="preserve"> průběžně informována. </w:t>
      </w:r>
    </w:p>
    <w:p w14:paraId="464D798B" w14:textId="1E9E4EEC" w:rsidR="00EA3FC9" w:rsidRDefault="00EA3FC9" w:rsidP="00EA3FC9">
      <w:pPr>
        <w:tabs>
          <w:tab w:val="left" w:pos="0"/>
        </w:tabs>
        <w:spacing w:line="240" w:lineRule="auto"/>
      </w:pPr>
      <w:r>
        <w:t>Vybraná laboratoř musí úzce spolupracovat s jednotlivými lázeňskými zařízeními, aby byl</w:t>
      </w:r>
      <w:r w:rsidR="00F63882">
        <w:t>o</w:t>
      </w:r>
      <w:r>
        <w:t xml:space="preserve"> zajištěn</w:t>
      </w:r>
      <w:r w:rsidR="00F63882">
        <w:t>o</w:t>
      </w:r>
      <w:r>
        <w:t xml:space="preserve"> včasn</w:t>
      </w:r>
      <w:r w:rsidR="00F63882">
        <w:t xml:space="preserve">é vyzvednutí, </w:t>
      </w:r>
      <w:r>
        <w:t xml:space="preserve">řádný </w:t>
      </w:r>
      <w:r w:rsidR="004146F9">
        <w:t>odvoz vzorků</w:t>
      </w:r>
      <w:r w:rsidR="00F63882">
        <w:t xml:space="preserve"> a provedení laboratorní diagnostiky vzorků</w:t>
      </w:r>
      <w:r>
        <w:t xml:space="preserve"> všech pacientů, ale také na předání jedinečných „ID kódů“ pacientů, pod nimiž budou data předávána </w:t>
      </w:r>
      <w:proofErr w:type="spellStart"/>
      <w:r>
        <w:t>ILaBu</w:t>
      </w:r>
      <w:proofErr w:type="spellEnd"/>
      <w:r>
        <w:t>.</w:t>
      </w:r>
    </w:p>
    <w:p w14:paraId="253C9A0C" w14:textId="1F1AF041" w:rsidR="00EA3FC9" w:rsidRDefault="00EA3FC9" w:rsidP="00EA3FC9">
      <w:pPr>
        <w:tabs>
          <w:tab w:val="left" w:pos="0"/>
        </w:tabs>
        <w:spacing w:line="240" w:lineRule="auto"/>
      </w:pPr>
      <w:r>
        <w:t>Odběr bude probíhat vždy v ranních/dopoledních hodinách dle požadovaných parametrů odběru (lačnění pacienta, etc. – požadavky dodá laboratoř, přípravu pacienta</w:t>
      </w:r>
      <w:r w:rsidR="004146F9">
        <w:t xml:space="preserve"> i odběr samotný</w:t>
      </w:r>
      <w:r>
        <w:t xml:space="preserve"> zajistí lázeňské zařízení). </w:t>
      </w:r>
      <w:r w:rsidRPr="003B473B">
        <w:t xml:space="preserve">Laboratoř </w:t>
      </w:r>
      <w:r w:rsidR="004146F9">
        <w:t xml:space="preserve">vyzvedne, odveze a vyhodnotí odebrané vzorky </w:t>
      </w:r>
      <w:r>
        <w:t xml:space="preserve">a výsledky </w:t>
      </w:r>
      <w:r w:rsidR="007B0475">
        <w:t xml:space="preserve">laboratorní </w:t>
      </w:r>
      <w:r>
        <w:t>diagnostiky dodá lázeňskému zařízení nejpozději do druhého pracovního dne.</w:t>
      </w:r>
    </w:p>
    <w:p w14:paraId="20EE7BF4" w14:textId="77777777" w:rsidR="00EA3FC9" w:rsidRDefault="00EA3FC9" w:rsidP="00EA3FC9">
      <w:pPr>
        <w:tabs>
          <w:tab w:val="left" w:pos="0"/>
        </w:tabs>
        <w:spacing w:line="240" w:lineRule="auto"/>
      </w:pPr>
      <w:r>
        <w:t>Odběry budou u všech probandů provedeny vždy na začátku KLP (tj. nejpozději 3. den od nástupu na KLP) a následně na konci KLP (tj. 20. nebo 21. den, ve výjimečných případech lze odběr realizovat 19. den KLP). Zde je nutná spolupráce s lázeňským zařízením, aby odběry proběhly dle plánovaného harmonogramu + byly zajištěny nutné podmínky pro odběr (viz výše).</w:t>
      </w:r>
    </w:p>
    <w:p w14:paraId="1A3D178B" w14:textId="77777777" w:rsidR="00EA3FC9" w:rsidRDefault="00EA3FC9" w:rsidP="00EA3FC9">
      <w:pPr>
        <w:tabs>
          <w:tab w:val="left" w:pos="0"/>
        </w:tabs>
        <w:spacing w:line="240" w:lineRule="auto"/>
      </w:pPr>
    </w:p>
    <w:p w14:paraId="4D4AFCE8" w14:textId="77777777" w:rsidR="00EA3FC9" w:rsidRDefault="00EA3FC9" w:rsidP="00EA3FC9">
      <w:pPr>
        <w:tabs>
          <w:tab w:val="left" w:pos="0"/>
        </w:tabs>
        <w:spacing w:line="240" w:lineRule="auto"/>
      </w:pPr>
    </w:p>
    <w:p w14:paraId="1AA15140" w14:textId="77777777" w:rsidR="00EA3FC9" w:rsidRDefault="00EA3FC9" w:rsidP="00EA3FC9">
      <w:pPr>
        <w:tabs>
          <w:tab w:val="left" w:pos="0"/>
        </w:tabs>
        <w:spacing w:line="240" w:lineRule="auto"/>
      </w:pPr>
    </w:p>
    <w:p w14:paraId="6378F650" w14:textId="77777777" w:rsidR="006958E3" w:rsidRDefault="006958E3" w:rsidP="00EA3FC9">
      <w:pPr>
        <w:tabs>
          <w:tab w:val="left" w:pos="0"/>
        </w:tabs>
        <w:spacing w:line="240" w:lineRule="auto"/>
      </w:pPr>
    </w:p>
    <w:p w14:paraId="17A9AFE6" w14:textId="77777777" w:rsidR="006958E3" w:rsidRDefault="006958E3" w:rsidP="00EA3FC9">
      <w:pPr>
        <w:tabs>
          <w:tab w:val="left" w:pos="0"/>
        </w:tabs>
        <w:spacing w:line="240" w:lineRule="auto"/>
      </w:pPr>
    </w:p>
    <w:p w14:paraId="68F43413" w14:textId="77777777" w:rsidR="006958E3" w:rsidRDefault="006958E3" w:rsidP="00EA3FC9">
      <w:pPr>
        <w:tabs>
          <w:tab w:val="left" w:pos="0"/>
        </w:tabs>
        <w:spacing w:line="240" w:lineRule="auto"/>
      </w:pPr>
    </w:p>
    <w:p w14:paraId="7815FEF4" w14:textId="77777777" w:rsidR="00EA3FC9" w:rsidRPr="002C0E64" w:rsidRDefault="00EA3FC9" w:rsidP="00EA3FC9">
      <w:pPr>
        <w:tabs>
          <w:tab w:val="left" w:pos="0"/>
        </w:tabs>
        <w:spacing w:after="6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Obr.1: </w:t>
      </w:r>
      <w:r w:rsidRPr="002C0E64">
        <w:rPr>
          <w:i/>
          <w:iCs/>
          <w:sz w:val="18"/>
          <w:szCs w:val="18"/>
        </w:rPr>
        <w:t>Harmonogram rozvrhu vstupního/výstupního odběru.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A3FC9" w:rsidRPr="00F366EC" w14:paraId="5C64F027" w14:textId="77777777" w:rsidTr="006346A4">
        <w:tc>
          <w:tcPr>
            <w:tcW w:w="9062" w:type="dxa"/>
            <w:gridSpan w:val="21"/>
            <w:shd w:val="clear" w:color="auto" w:fill="D1D1D1" w:themeFill="background2" w:themeFillShade="E6"/>
            <w:vAlign w:val="center"/>
          </w:tcPr>
          <w:p w14:paraId="7EE2C322" w14:textId="77777777" w:rsidR="00EA3FC9" w:rsidRPr="00F366EC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66EC">
              <w:rPr>
                <w:b/>
                <w:bCs/>
                <w:sz w:val="20"/>
                <w:szCs w:val="20"/>
              </w:rPr>
              <w:t>DEN KOMPLEXNÍ LÁZEŇSKÉ LÉČEBNĚ REHABILITAČNÍ PÉČE</w:t>
            </w:r>
          </w:p>
        </w:tc>
      </w:tr>
      <w:tr w:rsidR="00EA3FC9" w:rsidRPr="00F366EC" w14:paraId="66766940" w14:textId="77777777" w:rsidTr="006346A4">
        <w:tc>
          <w:tcPr>
            <w:tcW w:w="431" w:type="dxa"/>
            <w:vAlign w:val="center"/>
          </w:tcPr>
          <w:p w14:paraId="275DEB4D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</w:t>
            </w:r>
          </w:p>
        </w:tc>
        <w:tc>
          <w:tcPr>
            <w:tcW w:w="431" w:type="dxa"/>
            <w:shd w:val="clear" w:color="auto" w:fill="FFC000"/>
            <w:vAlign w:val="center"/>
          </w:tcPr>
          <w:p w14:paraId="5918A85C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1" w:type="dxa"/>
            <w:shd w:val="clear" w:color="auto" w:fill="FFC000"/>
            <w:vAlign w:val="center"/>
          </w:tcPr>
          <w:p w14:paraId="21FFC4E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1" w:type="dxa"/>
            <w:vAlign w:val="center"/>
          </w:tcPr>
          <w:p w14:paraId="6C310EC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 w14:paraId="3110F21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5</w:t>
            </w:r>
          </w:p>
        </w:tc>
        <w:tc>
          <w:tcPr>
            <w:tcW w:w="431" w:type="dxa"/>
            <w:vAlign w:val="center"/>
          </w:tcPr>
          <w:p w14:paraId="7224115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6</w:t>
            </w:r>
          </w:p>
        </w:tc>
        <w:tc>
          <w:tcPr>
            <w:tcW w:w="431" w:type="dxa"/>
            <w:vAlign w:val="center"/>
          </w:tcPr>
          <w:p w14:paraId="6CB9AD7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7</w:t>
            </w:r>
          </w:p>
        </w:tc>
        <w:tc>
          <w:tcPr>
            <w:tcW w:w="431" w:type="dxa"/>
            <w:vAlign w:val="center"/>
          </w:tcPr>
          <w:p w14:paraId="2A40821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8</w:t>
            </w:r>
          </w:p>
        </w:tc>
        <w:tc>
          <w:tcPr>
            <w:tcW w:w="431" w:type="dxa"/>
            <w:vAlign w:val="center"/>
          </w:tcPr>
          <w:p w14:paraId="07CAF6A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9</w:t>
            </w:r>
          </w:p>
        </w:tc>
        <w:tc>
          <w:tcPr>
            <w:tcW w:w="431" w:type="dxa"/>
            <w:vAlign w:val="center"/>
          </w:tcPr>
          <w:p w14:paraId="106475A1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10</w:t>
            </w:r>
          </w:p>
        </w:tc>
        <w:tc>
          <w:tcPr>
            <w:tcW w:w="432" w:type="dxa"/>
            <w:vAlign w:val="center"/>
          </w:tcPr>
          <w:p w14:paraId="79014D9E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11</w:t>
            </w:r>
          </w:p>
        </w:tc>
        <w:tc>
          <w:tcPr>
            <w:tcW w:w="432" w:type="dxa"/>
            <w:vAlign w:val="center"/>
          </w:tcPr>
          <w:p w14:paraId="420BA61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12</w:t>
            </w:r>
          </w:p>
        </w:tc>
        <w:tc>
          <w:tcPr>
            <w:tcW w:w="432" w:type="dxa"/>
            <w:vAlign w:val="center"/>
          </w:tcPr>
          <w:p w14:paraId="53EF148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13</w:t>
            </w:r>
          </w:p>
        </w:tc>
        <w:tc>
          <w:tcPr>
            <w:tcW w:w="432" w:type="dxa"/>
            <w:vAlign w:val="center"/>
          </w:tcPr>
          <w:p w14:paraId="15F3288E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14</w:t>
            </w:r>
          </w:p>
        </w:tc>
        <w:tc>
          <w:tcPr>
            <w:tcW w:w="432" w:type="dxa"/>
            <w:vAlign w:val="center"/>
          </w:tcPr>
          <w:p w14:paraId="2C679B31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15</w:t>
            </w:r>
          </w:p>
        </w:tc>
        <w:tc>
          <w:tcPr>
            <w:tcW w:w="432" w:type="dxa"/>
            <w:vAlign w:val="center"/>
          </w:tcPr>
          <w:p w14:paraId="1DB964D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16</w:t>
            </w:r>
          </w:p>
        </w:tc>
        <w:tc>
          <w:tcPr>
            <w:tcW w:w="432" w:type="dxa"/>
            <w:vAlign w:val="center"/>
          </w:tcPr>
          <w:p w14:paraId="6C5E753A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17</w:t>
            </w:r>
          </w:p>
        </w:tc>
        <w:tc>
          <w:tcPr>
            <w:tcW w:w="432" w:type="dxa"/>
            <w:vAlign w:val="center"/>
          </w:tcPr>
          <w:p w14:paraId="7EC42C3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18</w:t>
            </w:r>
          </w:p>
        </w:tc>
        <w:tc>
          <w:tcPr>
            <w:tcW w:w="432" w:type="dxa"/>
            <w:vAlign w:val="center"/>
          </w:tcPr>
          <w:p w14:paraId="46E0A3BA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19</w:t>
            </w:r>
          </w:p>
        </w:tc>
        <w:tc>
          <w:tcPr>
            <w:tcW w:w="432" w:type="dxa"/>
            <w:shd w:val="clear" w:color="auto" w:fill="FFC000"/>
            <w:vAlign w:val="center"/>
          </w:tcPr>
          <w:p w14:paraId="32F5F282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20</w:t>
            </w:r>
          </w:p>
        </w:tc>
        <w:tc>
          <w:tcPr>
            <w:tcW w:w="432" w:type="dxa"/>
            <w:shd w:val="clear" w:color="auto" w:fill="FFC000"/>
            <w:vAlign w:val="center"/>
          </w:tcPr>
          <w:p w14:paraId="20653A3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21</w:t>
            </w:r>
          </w:p>
        </w:tc>
      </w:tr>
      <w:tr w:rsidR="00EA3FC9" w:rsidRPr="00F366EC" w14:paraId="020F61C2" w14:textId="77777777" w:rsidTr="006346A4">
        <w:tc>
          <w:tcPr>
            <w:tcW w:w="9062" w:type="dxa"/>
            <w:gridSpan w:val="21"/>
            <w:shd w:val="clear" w:color="auto" w:fill="D1D1D1" w:themeFill="background2" w:themeFillShade="E6"/>
            <w:vAlign w:val="center"/>
          </w:tcPr>
          <w:p w14:paraId="67B0BB54" w14:textId="77777777" w:rsidR="00EA3FC9" w:rsidRPr="00F366EC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POPIS ČINNOSTÍ</w:t>
            </w:r>
          </w:p>
        </w:tc>
      </w:tr>
      <w:tr w:rsidR="00EA3FC9" w:rsidRPr="00F366EC" w14:paraId="6457A81B" w14:textId="77777777" w:rsidTr="006346A4">
        <w:trPr>
          <w:cantSplit/>
          <w:trHeight w:val="4614"/>
        </w:trPr>
        <w:tc>
          <w:tcPr>
            <w:tcW w:w="431" w:type="dxa"/>
            <w:textDirection w:val="btLr"/>
            <w:vAlign w:val="center"/>
          </w:tcPr>
          <w:p w14:paraId="2325F39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b/>
                <w:bCs/>
                <w:sz w:val="18"/>
                <w:szCs w:val="18"/>
              </w:rPr>
              <w:t>Příjezd pacienta</w:t>
            </w:r>
            <w:r w:rsidRPr="002C0E64">
              <w:rPr>
                <w:sz w:val="18"/>
                <w:szCs w:val="18"/>
              </w:rPr>
              <w:t>, vstupní vyšetření, zařazení do studie</w:t>
            </w:r>
          </w:p>
        </w:tc>
        <w:tc>
          <w:tcPr>
            <w:tcW w:w="431" w:type="dxa"/>
            <w:textDirection w:val="btLr"/>
            <w:vAlign w:val="center"/>
          </w:tcPr>
          <w:p w14:paraId="01FED6D5" w14:textId="677FB684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 xml:space="preserve">Vstupní vyšetření, zařazení do studie, 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vstupní odběr</w:t>
            </w:r>
            <w:r w:rsidRPr="002C0E64">
              <w:rPr>
                <w:b/>
                <w:bCs/>
                <w:sz w:val="18"/>
                <w:szCs w:val="18"/>
              </w:rPr>
              <w:t>,</w:t>
            </w:r>
            <w:r w:rsidRPr="002C0E64">
              <w:rPr>
                <w:sz w:val="18"/>
                <w:szCs w:val="18"/>
              </w:rPr>
              <w:t xml:space="preserve"> 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28844DDF" w14:textId="2989DC0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b/>
                <w:bCs/>
                <w:sz w:val="18"/>
                <w:szCs w:val="18"/>
                <w:highlight w:val="yellow"/>
              </w:rPr>
              <w:t>Vstupní odběr</w:t>
            </w:r>
            <w:r w:rsidRPr="002C0E64">
              <w:rPr>
                <w:sz w:val="18"/>
                <w:szCs w:val="18"/>
              </w:rPr>
              <w:t>, 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76AC2918" w14:textId="28CB4FAA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45B180B2" w14:textId="1ABBF30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45A2F39F" w14:textId="3767AF02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1768F521" w14:textId="1FB1BA8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090A8B7" w14:textId="004E1FAC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8A53106" w14:textId="5021AD4D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4568407" w14:textId="37023612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613DA01" w14:textId="6AE12342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29F53EB" w14:textId="5A128932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65634C70" w14:textId="14262480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2D785E73" w14:textId="1652F41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DCC1B9E" w14:textId="076B6CB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1A4C854C" w14:textId="3F36E8E6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04A262B2" w14:textId="3891846A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64B0EEF9" w14:textId="4191AD93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2CCBC04" w14:textId="0CBCBCC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3355E56F" w14:textId="3FA369CC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sz w:val="18"/>
                <w:szCs w:val="18"/>
              </w:rPr>
              <w:t xml:space="preserve">Výstupní vyšetření, </w:t>
            </w:r>
            <w:r>
              <w:rPr>
                <w:b/>
                <w:bCs/>
                <w:sz w:val="18"/>
                <w:szCs w:val="18"/>
                <w:highlight w:val="yellow"/>
              </w:rPr>
              <w:t>v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ýstupní odběr</w:t>
            </w:r>
            <w:r w:rsidRPr="005005E3">
              <w:rPr>
                <w:sz w:val="18"/>
                <w:szCs w:val="18"/>
              </w:rPr>
              <w:t>, KL</w:t>
            </w:r>
            <w:r w:rsidR="001A7827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014F901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 xml:space="preserve">Výstupní vyšetření, </w:t>
            </w:r>
            <w:r>
              <w:rPr>
                <w:b/>
                <w:bCs/>
                <w:sz w:val="18"/>
                <w:szCs w:val="18"/>
                <w:highlight w:val="yellow"/>
              </w:rPr>
              <w:t>v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ýstupní odběr</w:t>
            </w:r>
            <w:r>
              <w:rPr>
                <w:b/>
                <w:bCs/>
                <w:sz w:val="18"/>
                <w:szCs w:val="18"/>
              </w:rPr>
              <w:t>, o</w:t>
            </w:r>
            <w:r w:rsidRPr="002C0E64">
              <w:rPr>
                <w:b/>
                <w:bCs/>
                <w:sz w:val="18"/>
                <w:szCs w:val="18"/>
              </w:rPr>
              <w:t>djezd pacienta</w:t>
            </w:r>
          </w:p>
        </w:tc>
      </w:tr>
    </w:tbl>
    <w:p w14:paraId="11D90747" w14:textId="77777777" w:rsidR="00EA3FC9" w:rsidRDefault="00EA3FC9" w:rsidP="00EA3FC9">
      <w:pPr>
        <w:tabs>
          <w:tab w:val="left" w:pos="0"/>
        </w:tabs>
        <w:spacing w:after="0" w:line="240" w:lineRule="auto"/>
      </w:pPr>
    </w:p>
    <w:p w14:paraId="4DF8EA36" w14:textId="77777777" w:rsidR="00EA3FC9" w:rsidRDefault="00EA3FC9" w:rsidP="00EA3FC9">
      <w:pPr>
        <w:spacing w:before="120" w:after="6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KARLOVY VARY</w:t>
      </w:r>
    </w:p>
    <w:p w14:paraId="20EDFE76" w14:textId="448B1D8D" w:rsidR="00EA3FC9" w:rsidRDefault="007B0475" w:rsidP="00EA3FC9">
      <w:pPr>
        <w:spacing w:after="0" w:line="240" w:lineRule="auto"/>
        <w:ind w:firstLine="1"/>
        <w:rPr>
          <w:b/>
          <w:bCs/>
        </w:rPr>
      </w:pPr>
      <w:r w:rsidRPr="001F63D2">
        <w:rPr>
          <w:b/>
          <w:bCs/>
        </w:rPr>
        <w:t>(</w:t>
      </w:r>
      <w:r w:rsidR="00537DDE">
        <w:rPr>
          <w:b/>
          <w:bCs/>
        </w:rPr>
        <w:t>O</w:t>
      </w:r>
      <w:r w:rsidRPr="001F63D2">
        <w:rPr>
          <w:b/>
          <w:bCs/>
        </w:rPr>
        <w:t xml:space="preserve">bjektivizace účinku </w:t>
      </w:r>
      <w:r>
        <w:rPr>
          <w:b/>
          <w:bCs/>
        </w:rPr>
        <w:t xml:space="preserve">komplexní lázeňské léčebně rehabilitační péče </w:t>
      </w:r>
      <w:r w:rsidRPr="001F63D2">
        <w:rPr>
          <w:b/>
          <w:bCs/>
        </w:rPr>
        <w:t xml:space="preserve">na </w:t>
      </w:r>
      <w:r>
        <w:rPr>
          <w:b/>
          <w:bCs/>
        </w:rPr>
        <w:t xml:space="preserve">onemocnění a chronické komplikace </w:t>
      </w:r>
      <w:r w:rsidRPr="001F63D2">
        <w:rPr>
          <w:b/>
          <w:bCs/>
        </w:rPr>
        <w:t>diabetes mellitus 2. typu</w:t>
      </w:r>
      <w:r>
        <w:rPr>
          <w:b/>
          <w:bCs/>
        </w:rPr>
        <w:t>, prevenci a progrese</w:t>
      </w:r>
      <w:r w:rsidRPr="001F63D2">
        <w:rPr>
          <w:b/>
          <w:bCs/>
        </w:rPr>
        <w:t xml:space="preserve"> steatóz</w:t>
      </w:r>
      <w:r>
        <w:rPr>
          <w:b/>
          <w:bCs/>
        </w:rPr>
        <w:t>y</w:t>
      </w:r>
      <w:r w:rsidRPr="001F63D2">
        <w:rPr>
          <w:b/>
          <w:bCs/>
        </w:rPr>
        <w:t xml:space="preserve"> jaterní)</w:t>
      </w:r>
    </w:p>
    <w:p w14:paraId="6547C470" w14:textId="77777777" w:rsidR="00EA3FC9" w:rsidRDefault="00EA3FC9" w:rsidP="00EA3FC9">
      <w:pPr>
        <w:spacing w:after="0" w:line="240" w:lineRule="auto"/>
      </w:pPr>
      <w:r>
        <w:t>Výzkum je zaměřen na pacienty s onemocněním diabetes mellitus 2. typu a na podskupinu pacientů, u nichž bude prokázán vyšší stupeň jaterní steatózy.</w:t>
      </w:r>
    </w:p>
    <w:p w14:paraId="0D47F926" w14:textId="77777777" w:rsidR="00EA3FC9" w:rsidRPr="009E7116" w:rsidRDefault="00EA3FC9" w:rsidP="00EA3FC9">
      <w:pPr>
        <w:spacing w:line="240" w:lineRule="auto"/>
      </w:pPr>
      <w:r>
        <w:t xml:space="preserve">Celkem je plánováno zařadit do studie </w:t>
      </w:r>
      <w:r>
        <w:rPr>
          <w:b/>
          <w:bCs/>
        </w:rPr>
        <w:t>150 pacientů</w:t>
      </w:r>
      <w:r>
        <w:t xml:space="preserve"> (75 žen + 75 mužů) z nichž 50 bude zařazeno jako podskupina pro výzkum účinku KLP na steatózu jaterní. Pro samotné odběry však vytvoření podskupiny pacientů se steatózou jaterní </w:t>
      </w:r>
      <w:r>
        <w:rPr>
          <w:u w:val="single"/>
        </w:rPr>
        <w:t>nemá vliv</w:t>
      </w:r>
      <w:r>
        <w:t>, odběry proběhnou u všech 150 pacientů stejně.</w:t>
      </w:r>
    </w:p>
    <w:p w14:paraId="1D2DCEF8" w14:textId="07EEAEC3" w:rsidR="00EA3FC9" w:rsidRDefault="00EA3FC9" w:rsidP="00EA3FC9">
      <w:pPr>
        <w:spacing w:line="240" w:lineRule="auto"/>
      </w:pPr>
      <w:r>
        <w:t xml:space="preserve">Odběry proběhnou </w:t>
      </w:r>
      <w:r w:rsidR="00F63882">
        <w:t xml:space="preserve">ve vybraném lázeňském zařízení </w:t>
      </w:r>
      <w:r>
        <w:t>u všech probandů na začátku KLP (tj. nejpozději 3. den od nástupu na KLP) a následně na konci KLP (tj. 20. nebo 21. den, ve výjimečných případech lze odběr realizovat 19. den KLP). Zde je nutná spolupráce s lázeňským zařízením, aby odběry proběhly dle plánovaného harmonogramu + byly zajištěny nutné podmínky pro odběr (lačnění pacienta, etc.).</w:t>
      </w:r>
    </w:p>
    <w:p w14:paraId="0169C15C" w14:textId="27F98DE1" w:rsidR="00EA3FC9" w:rsidRDefault="00EA3FC9" w:rsidP="00EA3FC9">
      <w:pPr>
        <w:spacing w:after="0" w:line="240" w:lineRule="auto"/>
      </w:pPr>
      <w:r>
        <w:t>V rámci výzkumu v Karlových Varech jsou</w:t>
      </w:r>
      <w:r w:rsidR="004146F9">
        <w:t xml:space="preserve"> </w:t>
      </w:r>
      <w:r>
        <w:t xml:space="preserve">plánovány </w:t>
      </w:r>
      <w:r w:rsidRPr="008C4BF1">
        <w:rPr>
          <w:b/>
          <w:bCs/>
        </w:rPr>
        <w:t>dva typy odběrů</w:t>
      </w:r>
      <w:r>
        <w:t xml:space="preserve">. </w:t>
      </w:r>
    </w:p>
    <w:p w14:paraId="512BA1EA" w14:textId="77777777" w:rsidR="00EA3FC9" w:rsidRDefault="00EA3FC9" w:rsidP="00EA3FC9">
      <w:pPr>
        <w:spacing w:line="240" w:lineRule="auto"/>
      </w:pPr>
      <w:r w:rsidRPr="00B16E35">
        <w:rPr>
          <w:b/>
          <w:bCs/>
          <w:u w:val="single"/>
        </w:rPr>
        <w:t>Standardní odběry</w:t>
      </w:r>
      <w:r>
        <w:t xml:space="preserve"> (podrobný popis viz níže), </w:t>
      </w:r>
      <w:r w:rsidRPr="00A62956">
        <w:t>výsledky provedení laboratorní diagnostiky budou předávány lázeňskému zařízení</w:t>
      </w:r>
      <w:r>
        <w:t xml:space="preserve"> v běžném formátu a nejpozději do druhého pracovního dne.</w:t>
      </w:r>
    </w:p>
    <w:p w14:paraId="11EF7065" w14:textId="77777777" w:rsidR="00EA3FC9" w:rsidRDefault="00EA3FC9" w:rsidP="00EA3FC9">
      <w:pPr>
        <w:spacing w:after="0" w:line="240" w:lineRule="auto"/>
      </w:pPr>
      <w:r w:rsidRPr="00B16E35">
        <w:rPr>
          <w:b/>
          <w:bCs/>
          <w:u w:val="single"/>
        </w:rPr>
        <w:t>Speciální odběry</w:t>
      </w:r>
      <w:r>
        <w:t xml:space="preserve"> (podrobný popis viz níže), jejichž hlavním cílem je:</w:t>
      </w:r>
    </w:p>
    <w:p w14:paraId="29B77E3A" w14:textId="5EBB9FD2" w:rsidR="00EA3FC9" w:rsidRDefault="00EA3FC9" w:rsidP="00EA3FC9">
      <w:pPr>
        <w:pStyle w:val="Odstavecseseznamem"/>
        <w:numPr>
          <w:ilvl w:val="0"/>
          <w:numId w:val="42"/>
        </w:numPr>
        <w:spacing w:after="0" w:line="240" w:lineRule="auto"/>
        <w:contextualSpacing w:val="0"/>
      </w:pPr>
      <w:r>
        <w:t>sledování vlivu KLP na změny metabolomu, proteomu, markerů zánětu v plazmě pacientů</w:t>
      </w:r>
      <w:r w:rsidR="00322107">
        <w:t>/pacientek</w:t>
      </w:r>
      <w:r>
        <w:t xml:space="preserve"> s diabetes mellitus 2. typu; </w:t>
      </w:r>
    </w:p>
    <w:p w14:paraId="7F723EFF" w14:textId="77777777" w:rsidR="00EA3FC9" w:rsidRDefault="00EA3FC9" w:rsidP="00EA3FC9">
      <w:pPr>
        <w:pStyle w:val="Odstavecseseznamem"/>
        <w:numPr>
          <w:ilvl w:val="0"/>
          <w:numId w:val="42"/>
        </w:numPr>
        <w:spacing w:after="0" w:line="240" w:lineRule="auto"/>
        <w:ind w:left="357" w:hanging="357"/>
        <w:contextualSpacing w:val="0"/>
      </w:pPr>
      <w:r>
        <w:t>sledování vlivu KLP na epitranskriptomické regulace a znaky, které by mohly být využity jako biomarkery odpovědi na léčbu, se speciální pozorností zaměřenou na pohlavní rozdíly.</w:t>
      </w:r>
    </w:p>
    <w:p w14:paraId="52B3CE0F" w14:textId="77777777" w:rsidR="007B0475" w:rsidRDefault="007B0475" w:rsidP="00EA3FC9">
      <w:pPr>
        <w:spacing w:after="0" w:line="240" w:lineRule="auto"/>
      </w:pPr>
    </w:p>
    <w:p w14:paraId="3B748853" w14:textId="77777777" w:rsidR="007B0475" w:rsidRDefault="007B0475" w:rsidP="00EA3FC9">
      <w:pPr>
        <w:spacing w:after="0" w:line="240" w:lineRule="auto"/>
      </w:pPr>
    </w:p>
    <w:p w14:paraId="5CE7CB39" w14:textId="57589113" w:rsidR="00EA3FC9" w:rsidRDefault="00EA3FC9" w:rsidP="00EA3FC9">
      <w:pPr>
        <w:spacing w:after="0" w:line="240" w:lineRule="auto"/>
      </w:pPr>
      <w:r>
        <w:lastRenderedPageBreak/>
        <w:t>Vyhodnocení těchto dvou konkrétních cílů bude probíhat ve spolupráci s FGÚ. Vzhledem k náročnosti vyhodnocení těchto dvou cílů a zejména pak s přihlédnutím k vybavení a možnostem FGÚ je nezbytné, aby </w:t>
      </w:r>
      <w:r w:rsidR="004146F9">
        <w:t>laboratorní diagnostika</w:t>
      </w:r>
      <w:r>
        <w:t xml:space="preserve"> probíhal</w:t>
      </w:r>
      <w:r w:rsidR="004146F9">
        <w:t>a</w:t>
      </w:r>
      <w:r>
        <w:t xml:space="preserve"> přesně dle uvedeného popisu (podrobně viz. níže). </w:t>
      </w:r>
    </w:p>
    <w:p w14:paraId="436C3D06" w14:textId="7A3D681F" w:rsidR="00EA3FC9" w:rsidRDefault="00EA3FC9" w:rsidP="00EA3FC9">
      <w:pPr>
        <w:spacing w:after="0" w:line="240" w:lineRule="auto"/>
      </w:pPr>
      <w:r>
        <w:t xml:space="preserve">Vysoutěžené laboratorní zařízení bude zodpovědné za </w:t>
      </w:r>
      <w:r w:rsidR="004146F9">
        <w:t>včasný a řádný převoz vzorků</w:t>
      </w:r>
      <w:r>
        <w:t xml:space="preserve">, přípravu plazmy dle uvedeného popisu, přesné popsání jednotlivých vzorků a jejich uskladnění v –80 °C. Uskladnění bude probíhat po dobu trvání studie, tedy </w:t>
      </w:r>
      <w:r w:rsidRPr="00D13A16">
        <w:t>do 3</w:t>
      </w:r>
      <w:r w:rsidR="006455B1" w:rsidRPr="00D13A16">
        <w:t>0</w:t>
      </w:r>
      <w:r w:rsidRPr="00D13A16">
        <w:t>.</w:t>
      </w:r>
      <w:r w:rsidR="006455B1" w:rsidRPr="00D13A16">
        <w:t>4</w:t>
      </w:r>
      <w:r w:rsidRPr="00D13A16">
        <w:t>.202</w:t>
      </w:r>
      <w:r w:rsidR="006455B1" w:rsidRPr="00D13A16">
        <w:t>7</w:t>
      </w:r>
      <w:r w:rsidRPr="00D13A16">
        <w:t>.</w:t>
      </w:r>
      <w:r w:rsidRPr="006455B1">
        <w:t xml:space="preserve"> Po</w:t>
      </w:r>
      <w:r>
        <w:t xml:space="preserve"> uplynutí této lhůty budou všechny zbývající vzorky transportovány do FGÚ.</w:t>
      </w:r>
      <w:r w:rsidR="00317D2A">
        <w:t xml:space="preserve"> </w:t>
      </w:r>
      <w:r w:rsidR="00317D2A" w:rsidRPr="00317D2A">
        <w:t>Převoz těchto speciálních vzorků do FGÚ bude probíhat na suchém ledu, po předchozí domluvě. Předání proběhne po shromáždění vzorků od 10 kompletních pacientů (</w:t>
      </w:r>
      <w:proofErr w:type="spellStart"/>
      <w:r w:rsidR="00317D2A" w:rsidRPr="00317D2A">
        <w:t>pre</w:t>
      </w:r>
      <w:proofErr w:type="spellEnd"/>
      <w:r w:rsidR="00317D2A" w:rsidRPr="00317D2A">
        <w:t xml:space="preserve"> i post KLP), nejpozději však 1× za 6 měsíců.</w:t>
      </w:r>
    </w:p>
    <w:p w14:paraId="2A6DD790" w14:textId="77777777" w:rsidR="00EA3FC9" w:rsidRDefault="00EA3FC9" w:rsidP="00EA3FC9">
      <w:pPr>
        <w:spacing w:after="0" w:line="240" w:lineRule="auto"/>
      </w:pPr>
    </w:p>
    <w:p w14:paraId="52F3749F" w14:textId="222E6FA6" w:rsidR="00EA3FC9" w:rsidRDefault="00EA3FC9" w:rsidP="00EA3FC9">
      <w:pPr>
        <w:spacing w:line="24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Pozn.: </w:t>
      </w:r>
      <w:r w:rsidRPr="00203893">
        <w:rPr>
          <w:i/>
          <w:iCs/>
          <w:sz w:val="20"/>
          <w:szCs w:val="20"/>
        </w:rPr>
        <w:t>V rámci tohoto speciálního odběru je v zadání uveden požadavek na konkrétní zkumavky s označením Eppendorf® Safe-Lock microcentrifuge tubes EP022363344, tyto byly vybrány na základě požadavků FGÚ na průběh studie</w:t>
      </w:r>
      <w:r w:rsidR="007B0475">
        <w:rPr>
          <w:i/>
          <w:iCs/>
          <w:sz w:val="20"/>
          <w:szCs w:val="20"/>
        </w:rPr>
        <w:t>.</w:t>
      </w:r>
    </w:p>
    <w:p w14:paraId="0B1A7633" w14:textId="77777777" w:rsidR="007B0475" w:rsidRPr="007B0475" w:rsidRDefault="007B0475" w:rsidP="007B0475">
      <w:pPr>
        <w:spacing w:line="240" w:lineRule="auto"/>
        <w:rPr>
          <w:i/>
          <w:iCs/>
          <w:sz w:val="20"/>
          <w:szCs w:val="20"/>
        </w:rPr>
      </w:pPr>
      <w:r w:rsidRPr="007B0475">
        <w:rPr>
          <w:i/>
          <w:iCs/>
          <w:sz w:val="20"/>
          <w:szCs w:val="20"/>
        </w:rPr>
        <w:t>Zkumavky Eppendorf® plně splňují požadavky potřebné během izolace totální RNA, přepisu RNA do cDNA, imunoprecipitace RNA či deplece rRNA. Umožňují centrifugaci vzorků až do 30 000 × g, mohou být používány v teplotách -86 °C až 100 °C a jsou autoklávovatelné. Splňují požadavek na PCR clean čistotu – neobsahují lidskou DNA, DNázy, RNázy a inhibitory PCR. Zároveň svou velikostí odpovídají požadavkům pro použití s magnetickým stojánkem DynaMag™-2 Magnet od firmy Invitrogen™ potřebným pro magnetickou separaci vzorků během deplece rRNA. Díky speciálnímu víčku Safe-lock poskytují dodatečnou ochranu proti neúmyslnému otevření během inkubace a skladování vzorků. Optimalizované těsnící vlastnosti zajišťují bezpečnost při práci s nebezpečnými látkami a minimální rychlosti odpařování při dlouhodobém skladování.</w:t>
      </w:r>
    </w:p>
    <w:p w14:paraId="0449D056" w14:textId="77777777" w:rsidR="007B0475" w:rsidRPr="00203893" w:rsidRDefault="007B0475" w:rsidP="00EA3FC9">
      <w:pPr>
        <w:spacing w:line="240" w:lineRule="auto"/>
        <w:rPr>
          <w:i/>
          <w:iCs/>
          <w:sz w:val="20"/>
          <w:szCs w:val="20"/>
        </w:rPr>
      </w:pPr>
    </w:p>
    <w:p w14:paraId="5308B174" w14:textId="77777777" w:rsidR="00EA3FC9" w:rsidRDefault="00EA3FC9" w:rsidP="00EA3FC9">
      <w:pPr>
        <w:spacing w:after="0" w:line="240" w:lineRule="auto"/>
        <w:ind w:firstLine="1"/>
      </w:pPr>
      <w:r>
        <w:t xml:space="preserve">Celkem tedy bude uskutečněno: </w:t>
      </w:r>
    </w:p>
    <w:p w14:paraId="0F8C89CF" w14:textId="26D3215B" w:rsidR="00EA3FC9" w:rsidRDefault="003B5D7A" w:rsidP="00EA3FC9">
      <w:pPr>
        <w:spacing w:line="240" w:lineRule="auto"/>
      </w:pPr>
      <w:r>
        <w:rPr>
          <w:b/>
          <w:bCs/>
        </w:rPr>
        <w:t xml:space="preserve">Maximálně </w:t>
      </w:r>
      <w:r w:rsidR="00EA3FC9">
        <w:rPr>
          <w:b/>
          <w:bCs/>
        </w:rPr>
        <w:t>3</w:t>
      </w:r>
      <w:r>
        <w:rPr>
          <w:b/>
          <w:bCs/>
        </w:rPr>
        <w:t>5</w:t>
      </w:r>
      <w:r w:rsidR="00EA3FC9">
        <w:rPr>
          <w:b/>
          <w:bCs/>
        </w:rPr>
        <w:t xml:space="preserve">0 „standardních“ odběrů </w:t>
      </w:r>
      <w:r w:rsidR="00EA3FC9">
        <w:t>dle následujícího předpokladu: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3FC9" w:rsidRPr="001A6C85" w14:paraId="3E1872BC" w14:textId="77777777" w:rsidTr="006346A4">
        <w:tc>
          <w:tcPr>
            <w:tcW w:w="4531" w:type="dxa"/>
            <w:shd w:val="pct10" w:color="auto" w:fill="auto"/>
            <w:vAlign w:val="center"/>
          </w:tcPr>
          <w:p w14:paraId="1D8F756F" w14:textId="20FA2958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t>VSTUP</w:t>
            </w:r>
            <w:r w:rsidR="00F31943"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4531" w:type="dxa"/>
            <w:shd w:val="pct10" w:color="auto" w:fill="auto"/>
            <w:vAlign w:val="center"/>
          </w:tcPr>
          <w:p w14:paraId="2398F5BF" w14:textId="77777777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t>VÝSTUP</w:t>
            </w:r>
          </w:p>
        </w:tc>
      </w:tr>
      <w:tr w:rsidR="00EA3FC9" w:rsidRPr="001C60C5" w14:paraId="58239A75" w14:textId="77777777" w:rsidTr="006346A4">
        <w:tc>
          <w:tcPr>
            <w:tcW w:w="4531" w:type="dxa"/>
            <w:vAlign w:val="center"/>
          </w:tcPr>
          <w:p w14:paraId="4AF661AD" w14:textId="5B5589DD" w:rsidR="00EA3FC9" w:rsidRPr="001C60C5" w:rsidRDefault="003B5D7A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max. 200</w:t>
            </w:r>
            <w:r w:rsidR="00EA3FC9" w:rsidRPr="001C60C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vzorků pro laboratorní analýzu</w:t>
            </w:r>
          </w:p>
        </w:tc>
        <w:tc>
          <w:tcPr>
            <w:tcW w:w="4531" w:type="dxa"/>
            <w:vAlign w:val="center"/>
          </w:tcPr>
          <w:p w14:paraId="690DF958" w14:textId="1E5A2CB4" w:rsidR="00EA3FC9" w:rsidRPr="001C60C5" w:rsidRDefault="009C4EF7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max. </w:t>
            </w:r>
            <w:r w:rsidR="003538C3">
              <w:rPr>
                <w:b/>
                <w:bCs/>
              </w:rPr>
              <w:t>150</w:t>
            </w:r>
            <w:r w:rsidR="00EA3FC9" w:rsidRPr="001C60C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vzorků </w:t>
            </w:r>
            <w:r w:rsidR="00B70817">
              <w:rPr>
                <w:b/>
                <w:bCs/>
              </w:rPr>
              <w:t>pro laboratorní</w:t>
            </w:r>
            <w:r>
              <w:rPr>
                <w:b/>
                <w:bCs/>
              </w:rPr>
              <w:t xml:space="preserve"> analýz</w:t>
            </w:r>
            <w:r w:rsidR="00B70817">
              <w:rPr>
                <w:b/>
                <w:bCs/>
              </w:rPr>
              <w:t>u</w:t>
            </w:r>
          </w:p>
        </w:tc>
      </w:tr>
      <w:tr w:rsidR="00EA3FC9" w:rsidRPr="001A6C85" w14:paraId="438D0877" w14:textId="77777777" w:rsidTr="006346A4">
        <w:tc>
          <w:tcPr>
            <w:tcW w:w="4531" w:type="dxa"/>
            <w:vAlign w:val="center"/>
          </w:tcPr>
          <w:p w14:paraId="68E94D26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5ml, červená zkumavka (sérum)</w:t>
            </w:r>
          </w:p>
        </w:tc>
        <w:tc>
          <w:tcPr>
            <w:tcW w:w="4531" w:type="dxa"/>
            <w:vAlign w:val="center"/>
          </w:tcPr>
          <w:p w14:paraId="5941920E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5ml, červená zkumavka (sérum)</w:t>
            </w:r>
          </w:p>
        </w:tc>
      </w:tr>
      <w:tr w:rsidR="00EA3FC9" w:rsidRPr="001A6C85" w14:paraId="5CC69374" w14:textId="77777777" w:rsidTr="006346A4">
        <w:tc>
          <w:tcPr>
            <w:tcW w:w="4531" w:type="dxa"/>
            <w:vAlign w:val="center"/>
          </w:tcPr>
          <w:p w14:paraId="148A8DDB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3ml, fialová zkumavka (K3EDTA)</w:t>
            </w:r>
          </w:p>
        </w:tc>
        <w:tc>
          <w:tcPr>
            <w:tcW w:w="4531" w:type="dxa"/>
            <w:vAlign w:val="center"/>
          </w:tcPr>
          <w:p w14:paraId="2270CF1F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3ml, fialová zkumavka (K3EDTA)</w:t>
            </w:r>
          </w:p>
        </w:tc>
      </w:tr>
      <w:tr w:rsidR="00EA3FC9" w:rsidRPr="001A6C85" w14:paraId="1FB4E32E" w14:textId="77777777" w:rsidTr="006346A4">
        <w:tc>
          <w:tcPr>
            <w:tcW w:w="4531" w:type="dxa"/>
            <w:vAlign w:val="center"/>
          </w:tcPr>
          <w:p w14:paraId="4913B603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zkumavka bez preparace na odběr moči</w:t>
            </w:r>
          </w:p>
        </w:tc>
        <w:tc>
          <w:tcPr>
            <w:tcW w:w="4531" w:type="dxa"/>
            <w:vAlign w:val="center"/>
          </w:tcPr>
          <w:p w14:paraId="143A6802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zkumavka bez preparace na odběr moči</w:t>
            </w:r>
          </w:p>
        </w:tc>
      </w:tr>
    </w:tbl>
    <w:p w14:paraId="797C1601" w14:textId="77777777" w:rsidR="00EA3FC9" w:rsidRDefault="00EA3FC9" w:rsidP="00EA3FC9">
      <w:pPr>
        <w:spacing w:after="0" w:line="240" w:lineRule="auto"/>
        <w:ind w:firstLine="1"/>
      </w:pPr>
    </w:p>
    <w:p w14:paraId="28650A58" w14:textId="77777777" w:rsidR="00EA3FC9" w:rsidRDefault="00EA3FC9" w:rsidP="00EA3FC9">
      <w:pPr>
        <w:spacing w:after="0" w:line="240" w:lineRule="auto"/>
        <w:jc w:val="left"/>
        <w:rPr>
          <w:b/>
          <w:bCs/>
        </w:rPr>
      </w:pPr>
    </w:p>
    <w:p w14:paraId="474A8DB0" w14:textId="7B96D64C" w:rsidR="00EA3FC9" w:rsidRDefault="003B5D7A" w:rsidP="00EA3FC9">
      <w:pPr>
        <w:spacing w:line="240" w:lineRule="auto"/>
      </w:pPr>
      <w:r>
        <w:rPr>
          <w:b/>
          <w:bCs/>
        </w:rPr>
        <w:t xml:space="preserve">Maximálně </w:t>
      </w:r>
      <w:r w:rsidR="00EA3FC9">
        <w:rPr>
          <w:b/>
          <w:bCs/>
        </w:rPr>
        <w:t>3</w:t>
      </w:r>
      <w:r>
        <w:rPr>
          <w:b/>
          <w:bCs/>
        </w:rPr>
        <w:t>5</w:t>
      </w:r>
      <w:r w:rsidR="00EA3FC9">
        <w:rPr>
          <w:b/>
          <w:bCs/>
        </w:rPr>
        <w:t xml:space="preserve">0 „speciálních“ odběrů </w:t>
      </w:r>
      <w:r w:rsidR="00EA3FC9">
        <w:t>dle následujícího předpokladu: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3FC9" w:rsidRPr="001A6C85" w14:paraId="32A35D22" w14:textId="77777777" w:rsidTr="006346A4">
        <w:tc>
          <w:tcPr>
            <w:tcW w:w="4531" w:type="dxa"/>
            <w:shd w:val="pct10" w:color="auto" w:fill="auto"/>
            <w:vAlign w:val="center"/>
          </w:tcPr>
          <w:p w14:paraId="122A69DD" w14:textId="43DD9337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t>VSTUP</w:t>
            </w:r>
            <w:r w:rsidR="00F31943">
              <w:rPr>
                <w:rStyle w:val="Znakapoznpodarou"/>
                <w:b/>
                <w:bCs/>
              </w:rPr>
              <w:footnoteReference w:id="2"/>
            </w:r>
          </w:p>
        </w:tc>
        <w:tc>
          <w:tcPr>
            <w:tcW w:w="4531" w:type="dxa"/>
            <w:shd w:val="pct10" w:color="auto" w:fill="auto"/>
            <w:vAlign w:val="center"/>
          </w:tcPr>
          <w:p w14:paraId="002BFD5C" w14:textId="77777777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t>VÝSTUP</w:t>
            </w:r>
          </w:p>
        </w:tc>
      </w:tr>
      <w:tr w:rsidR="00EA3FC9" w:rsidRPr="001C60C5" w14:paraId="3FD3288A" w14:textId="77777777" w:rsidTr="003B5D7A">
        <w:trPr>
          <w:trHeight w:val="813"/>
        </w:trPr>
        <w:tc>
          <w:tcPr>
            <w:tcW w:w="4531" w:type="dxa"/>
            <w:vAlign w:val="center"/>
          </w:tcPr>
          <w:p w14:paraId="4038A95C" w14:textId="0471A653" w:rsidR="00EA3FC9" w:rsidRPr="001C60C5" w:rsidRDefault="00B70817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max. 200</w:t>
            </w:r>
            <w:r w:rsidRPr="001C60C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vzorků pro laboratorní analýzu</w:t>
            </w:r>
          </w:p>
        </w:tc>
        <w:tc>
          <w:tcPr>
            <w:tcW w:w="4531" w:type="dxa"/>
            <w:vAlign w:val="center"/>
          </w:tcPr>
          <w:p w14:paraId="58C605A3" w14:textId="5F2A510A" w:rsidR="00EA3FC9" w:rsidRPr="001C60C5" w:rsidRDefault="00B70817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max. </w:t>
            </w:r>
            <w:r w:rsidR="003538C3">
              <w:rPr>
                <w:b/>
                <w:bCs/>
              </w:rPr>
              <w:t>150</w:t>
            </w:r>
            <w:r w:rsidRPr="001C60C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vzorků pro laboratorní analýzu</w:t>
            </w:r>
          </w:p>
        </w:tc>
      </w:tr>
      <w:tr w:rsidR="00EA3FC9" w:rsidRPr="001A6C85" w14:paraId="5136907B" w14:textId="77777777" w:rsidTr="006346A4">
        <w:tc>
          <w:tcPr>
            <w:tcW w:w="4531" w:type="dxa"/>
            <w:vAlign w:val="center"/>
          </w:tcPr>
          <w:p w14:paraId="22C7064F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 xml:space="preserve">1x </w:t>
            </w:r>
            <w:r>
              <w:t>10</w:t>
            </w:r>
            <w:r w:rsidRPr="002F0653">
              <w:t>ml, fialová zkumavka (K</w:t>
            </w:r>
            <w:r>
              <w:t>2</w:t>
            </w:r>
            <w:r w:rsidRPr="002F0653">
              <w:t>EDTA)</w:t>
            </w:r>
          </w:p>
        </w:tc>
        <w:tc>
          <w:tcPr>
            <w:tcW w:w="4531" w:type="dxa"/>
            <w:vAlign w:val="center"/>
          </w:tcPr>
          <w:p w14:paraId="4849C5D0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 xml:space="preserve">1x </w:t>
            </w:r>
            <w:r>
              <w:t>10</w:t>
            </w:r>
            <w:r w:rsidRPr="002F0653">
              <w:t>ml, fialová zkumavka (K</w:t>
            </w:r>
            <w:r>
              <w:t>2</w:t>
            </w:r>
            <w:r w:rsidRPr="002F0653">
              <w:t>EDTA)</w:t>
            </w:r>
          </w:p>
        </w:tc>
      </w:tr>
      <w:tr w:rsidR="00EA3FC9" w:rsidRPr="001A6C85" w14:paraId="5816E398" w14:textId="77777777" w:rsidTr="006346A4">
        <w:tc>
          <w:tcPr>
            <w:tcW w:w="4531" w:type="dxa"/>
            <w:vAlign w:val="center"/>
          </w:tcPr>
          <w:p w14:paraId="3551A94F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lastRenderedPageBreak/>
              <w:t xml:space="preserve">1x </w:t>
            </w:r>
            <w:r>
              <w:t>10</w:t>
            </w:r>
            <w:r w:rsidRPr="002F0653">
              <w:t>ml, fialová zkumavka (K</w:t>
            </w:r>
            <w:r>
              <w:t>2</w:t>
            </w:r>
            <w:r w:rsidRPr="002F0653">
              <w:t>EDTA)</w:t>
            </w:r>
          </w:p>
        </w:tc>
        <w:tc>
          <w:tcPr>
            <w:tcW w:w="4531" w:type="dxa"/>
            <w:vAlign w:val="center"/>
          </w:tcPr>
          <w:p w14:paraId="18D90163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 xml:space="preserve">1x </w:t>
            </w:r>
            <w:r>
              <w:t>10</w:t>
            </w:r>
            <w:r w:rsidRPr="002F0653">
              <w:t>ml, fialová zkumavka (K</w:t>
            </w:r>
            <w:r>
              <w:t>2</w:t>
            </w:r>
            <w:r w:rsidRPr="002F0653">
              <w:t>EDTA)</w:t>
            </w:r>
          </w:p>
        </w:tc>
      </w:tr>
    </w:tbl>
    <w:p w14:paraId="2CCC30C1" w14:textId="77777777" w:rsidR="00EA3FC9" w:rsidRDefault="00EA3FC9" w:rsidP="00EA3FC9">
      <w:pPr>
        <w:spacing w:after="60" w:line="240" w:lineRule="auto"/>
        <w:rPr>
          <w:b/>
          <w:bCs/>
        </w:rPr>
      </w:pPr>
    </w:p>
    <w:p w14:paraId="30771C1B" w14:textId="77777777" w:rsidR="00EA3FC9" w:rsidRDefault="00EA3FC9" w:rsidP="00EA3FC9">
      <w:pPr>
        <w:spacing w:after="60" w:line="240" w:lineRule="auto"/>
        <w:rPr>
          <w:b/>
          <w:bCs/>
        </w:rPr>
      </w:pPr>
      <w:r w:rsidRPr="00E74850">
        <w:rPr>
          <w:b/>
          <w:bCs/>
        </w:rPr>
        <w:t>STANDARDNÍ ODBĚRY</w:t>
      </w:r>
    </w:p>
    <w:p w14:paraId="647DFB6E" w14:textId="77777777" w:rsidR="00EA3FC9" w:rsidRDefault="00EA3FC9" w:rsidP="00EA3FC9">
      <w:pPr>
        <w:spacing w:line="240" w:lineRule="auto"/>
      </w:pPr>
      <w:r>
        <w:rPr>
          <w:u w:val="single"/>
        </w:rPr>
        <w:t>Stanoveny/vypočteny budou následující parametry</w:t>
      </w:r>
      <w:r>
        <w:t>:</w:t>
      </w:r>
    </w:p>
    <w:p w14:paraId="50239552" w14:textId="77777777" w:rsidR="00EA3FC9" w:rsidRPr="009C12C4" w:rsidRDefault="00EA3FC9" w:rsidP="00EA3FC9">
      <w:pPr>
        <w:spacing w:after="0" w:line="240" w:lineRule="auto"/>
        <w:ind w:firstLine="1"/>
      </w:pPr>
      <w:r w:rsidRPr="009C12C4">
        <w:rPr>
          <w:b/>
          <w:bCs/>
        </w:rPr>
        <w:t>Glukóza</w:t>
      </w:r>
      <w:r w:rsidRPr="009C12C4">
        <w:t> [mmol/l] „FPG“</w:t>
      </w:r>
    </w:p>
    <w:p w14:paraId="00245198" w14:textId="77777777" w:rsidR="00EA3FC9" w:rsidRPr="009C12C4" w:rsidRDefault="00EA3FC9" w:rsidP="00EA3FC9">
      <w:pPr>
        <w:spacing w:after="0" w:line="240" w:lineRule="auto"/>
        <w:ind w:firstLine="1"/>
      </w:pPr>
      <w:r w:rsidRPr="009C12C4">
        <w:t>- </w:t>
      </w:r>
      <w:r w:rsidRPr="009C12C4">
        <w:rPr>
          <w:i/>
          <w:iCs/>
        </w:rPr>
        <w:t>venózní krev – plazma, odběr po min. 8 hodinách lačnění, 30 minut před odběrem pacient v klidovém režimu.</w:t>
      </w:r>
    </w:p>
    <w:p w14:paraId="0C5AEFCA" w14:textId="77777777" w:rsidR="00EA3FC9" w:rsidRPr="009C12C4" w:rsidRDefault="00EA3FC9" w:rsidP="00EA3FC9">
      <w:pPr>
        <w:spacing w:after="0" w:line="240" w:lineRule="auto"/>
        <w:ind w:firstLine="1"/>
      </w:pPr>
      <w:r w:rsidRPr="009C12C4">
        <w:rPr>
          <w:b/>
          <w:bCs/>
        </w:rPr>
        <w:t>Močový sediment</w:t>
      </w:r>
      <w:r w:rsidRPr="009C12C4">
        <w:t> [--]</w:t>
      </w:r>
    </w:p>
    <w:p w14:paraId="17ADDB5F" w14:textId="77777777" w:rsidR="00EA3FC9" w:rsidRPr="009C12C4" w:rsidRDefault="00EA3FC9" w:rsidP="00EA3FC9">
      <w:pPr>
        <w:spacing w:after="0" w:line="240" w:lineRule="auto"/>
        <w:ind w:firstLine="1"/>
      </w:pPr>
      <w:r w:rsidRPr="009C12C4">
        <w:t>- </w:t>
      </w:r>
      <w:r w:rsidRPr="009C12C4">
        <w:rPr>
          <w:i/>
          <w:iCs/>
        </w:rPr>
        <w:t>první ranní moč ze středního proudu, odběr po min. 8 hodinách lačnění</w:t>
      </w:r>
    </w:p>
    <w:p w14:paraId="03C59C34" w14:textId="77777777" w:rsidR="00EA3FC9" w:rsidRPr="009C12C4" w:rsidRDefault="00EA3FC9" w:rsidP="00EA3FC9">
      <w:pPr>
        <w:spacing w:after="0" w:line="240" w:lineRule="auto"/>
        <w:ind w:firstLine="1"/>
      </w:pPr>
      <w:r w:rsidRPr="009C12C4">
        <w:rPr>
          <w:b/>
          <w:bCs/>
        </w:rPr>
        <w:t>Urea</w:t>
      </w:r>
      <w:r w:rsidRPr="009C12C4">
        <w:t> [mmol/l]</w:t>
      </w:r>
    </w:p>
    <w:p w14:paraId="4F06332B" w14:textId="77777777" w:rsidR="00EA3FC9" w:rsidRPr="009C12C4" w:rsidRDefault="00EA3FC9" w:rsidP="00EA3FC9">
      <w:pPr>
        <w:spacing w:after="0" w:line="240" w:lineRule="auto"/>
        <w:ind w:firstLine="1"/>
      </w:pPr>
      <w:r w:rsidRPr="009C12C4">
        <w:t>- </w:t>
      </w:r>
      <w:r w:rsidRPr="009C12C4">
        <w:rPr>
          <w:i/>
          <w:iCs/>
        </w:rPr>
        <w:t>první ranní moč ze středního proudu, odběr po min. 8 hodinách lačnění</w:t>
      </w:r>
    </w:p>
    <w:p w14:paraId="3BE5EAA0" w14:textId="77777777" w:rsidR="00EA3FC9" w:rsidRPr="00DE7629" w:rsidRDefault="00EA3FC9" w:rsidP="00EA3FC9">
      <w:pPr>
        <w:spacing w:after="0" w:line="240" w:lineRule="auto"/>
        <w:ind w:firstLine="1"/>
      </w:pPr>
      <w:r w:rsidRPr="009C12C4">
        <w:rPr>
          <w:b/>
          <w:bCs/>
        </w:rPr>
        <w:t>Krevní obraz</w:t>
      </w:r>
      <w:r w:rsidRPr="009C12C4">
        <w:t> [--]</w:t>
      </w:r>
    </w:p>
    <w:p w14:paraId="7E66D0CA" w14:textId="77777777" w:rsidR="00EA3FC9" w:rsidRPr="00DE7629" w:rsidRDefault="00EA3FC9" w:rsidP="00EA3FC9">
      <w:pPr>
        <w:spacing w:after="0" w:line="240" w:lineRule="auto"/>
        <w:ind w:firstLine="1"/>
      </w:pPr>
      <w:r w:rsidRPr="009C12C4">
        <w:t>- </w:t>
      </w:r>
      <w:r w:rsidRPr="009C12C4">
        <w:rPr>
          <w:i/>
          <w:iCs/>
        </w:rPr>
        <w:t>periferní krev</w:t>
      </w:r>
    </w:p>
    <w:p w14:paraId="4964DF53" w14:textId="77777777" w:rsidR="00EA3FC9" w:rsidRPr="00DE7629" w:rsidRDefault="00EA3FC9" w:rsidP="00EA3FC9">
      <w:pPr>
        <w:spacing w:after="0" w:line="240" w:lineRule="auto"/>
        <w:ind w:firstLine="1"/>
      </w:pPr>
      <w:r w:rsidRPr="009C12C4">
        <w:rPr>
          <w:b/>
          <w:bCs/>
        </w:rPr>
        <w:t>Albumin</w:t>
      </w:r>
      <w:r>
        <w:rPr>
          <w:b/>
          <w:bCs/>
        </w:rPr>
        <w:t xml:space="preserve"> </w:t>
      </w:r>
      <w:r w:rsidRPr="00366174">
        <w:rPr>
          <w:b/>
          <w:bCs/>
        </w:rPr>
        <w:t>v moči</w:t>
      </w:r>
      <w:r w:rsidRPr="009C12C4">
        <w:t> [mg/l]</w:t>
      </w:r>
    </w:p>
    <w:p w14:paraId="3DD85C6D" w14:textId="77777777" w:rsidR="00EA3FC9" w:rsidRPr="00DE7629" w:rsidRDefault="00EA3FC9" w:rsidP="00EA3FC9">
      <w:pPr>
        <w:spacing w:after="0" w:line="240" w:lineRule="auto"/>
        <w:ind w:firstLine="1"/>
      </w:pPr>
      <w:r w:rsidRPr="009C12C4">
        <w:t>- </w:t>
      </w:r>
      <w:r w:rsidRPr="009C12C4">
        <w:rPr>
          <w:i/>
          <w:iCs/>
        </w:rPr>
        <w:t>první ranní moč ze středního proudu</w:t>
      </w:r>
    </w:p>
    <w:p w14:paraId="305EA34E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Kreatinin</w:t>
      </w:r>
      <w:r w:rsidRPr="00366174">
        <w:rPr>
          <w:b/>
          <w:bCs/>
        </w:rPr>
        <w:t xml:space="preserve"> v moči </w:t>
      </w:r>
      <w:r w:rsidRPr="009C12C4">
        <w:t>[mmol/l]</w:t>
      </w:r>
    </w:p>
    <w:p w14:paraId="39ABBBC8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první ranní moč ze středního proudu</w:t>
      </w:r>
    </w:p>
    <w:p w14:paraId="0C4FB656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Albumin/Kreatinin ratio</w:t>
      </w:r>
      <w:r w:rsidRPr="009C12C4">
        <w:t> [g/mol kreatininu] „ACR“</w:t>
      </w:r>
    </w:p>
    <w:p w14:paraId="6912AA13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výpočet</w:t>
      </w:r>
    </w:p>
    <w:p w14:paraId="0C139AE2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Celková bílkovina v moči</w:t>
      </w:r>
      <w:r w:rsidRPr="009C12C4">
        <w:t> [g/l]</w:t>
      </w:r>
    </w:p>
    <w:p w14:paraId="67298CDE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první ranní moč ze středního proudu</w:t>
      </w:r>
    </w:p>
    <w:p w14:paraId="400E0667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rPr>
          <w:b/>
          <w:bCs/>
        </w:rPr>
        <w:t>Protein/Kreatinin ratio</w:t>
      </w:r>
      <w:r w:rsidRPr="009C12C4">
        <w:t> [mg/mmol kreatininu] „PCR“</w:t>
      </w:r>
    </w:p>
    <w:p w14:paraId="75186A84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t>- </w:t>
      </w:r>
      <w:r w:rsidRPr="009C12C4">
        <w:rPr>
          <w:i/>
          <w:iCs/>
        </w:rPr>
        <w:t>výpočet</w:t>
      </w:r>
    </w:p>
    <w:p w14:paraId="44BB46A2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366174">
        <w:rPr>
          <w:b/>
          <w:bCs/>
        </w:rPr>
        <w:t>Kreatinin v krvi</w:t>
      </w:r>
      <w:r w:rsidRPr="00366174">
        <w:t> [µmol/l] </w:t>
      </w:r>
    </w:p>
    <w:p w14:paraId="5F919848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rPr>
          <w:i/>
          <w:iCs/>
        </w:rPr>
        <w:t>-</w:t>
      </w:r>
      <w:r w:rsidRPr="009C12C4">
        <w:rPr>
          <w:rFonts w:ascii="Arial" w:hAnsi="Arial" w:cs="Arial"/>
          <w:i/>
          <w:iCs/>
        </w:rPr>
        <w:t> </w:t>
      </w:r>
      <w:r w:rsidRPr="009C12C4">
        <w:rPr>
          <w:i/>
          <w:iCs/>
        </w:rPr>
        <w:t>ven</w:t>
      </w:r>
      <w:r w:rsidRPr="009C12C4">
        <w:rPr>
          <w:rFonts w:ascii="Aptos" w:hAnsi="Aptos" w:cs="Aptos"/>
          <w:i/>
          <w:iCs/>
        </w:rPr>
        <w:t>ó</w:t>
      </w:r>
      <w:r w:rsidRPr="009C12C4">
        <w:rPr>
          <w:i/>
          <w:iCs/>
        </w:rPr>
        <w:t>zn</w:t>
      </w:r>
      <w:r w:rsidRPr="009C12C4">
        <w:rPr>
          <w:rFonts w:ascii="Aptos" w:hAnsi="Aptos" w:cs="Aptos"/>
          <w:i/>
          <w:iCs/>
        </w:rPr>
        <w:t>í</w:t>
      </w:r>
      <w:r w:rsidRPr="009C12C4">
        <w:rPr>
          <w:i/>
          <w:iCs/>
        </w:rPr>
        <w:t xml:space="preserve"> krev</w:t>
      </w:r>
      <w:r w:rsidRPr="009C12C4">
        <w:rPr>
          <w:rFonts w:ascii="Aptos" w:hAnsi="Aptos" w:cs="Aptos"/>
          <w:i/>
          <w:iCs/>
        </w:rPr>
        <w:t> </w:t>
      </w:r>
    </w:p>
    <w:p w14:paraId="6F8BDD6B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rPr>
          <w:b/>
          <w:bCs/>
        </w:rPr>
        <w:t xml:space="preserve">Kyselina </w:t>
      </w:r>
      <w:r w:rsidRPr="00366174">
        <w:rPr>
          <w:b/>
          <w:bCs/>
        </w:rPr>
        <w:t>močová v krvi</w:t>
      </w:r>
      <w:r w:rsidRPr="009C12C4">
        <w:rPr>
          <w:b/>
          <w:bCs/>
        </w:rPr>
        <w:t> </w:t>
      </w:r>
      <w:r w:rsidRPr="009C12C4">
        <w:t>[µmol/l] </w:t>
      </w:r>
    </w:p>
    <w:p w14:paraId="63BA34D9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t>-</w:t>
      </w:r>
      <w:r w:rsidRPr="009C12C4">
        <w:rPr>
          <w:rFonts w:ascii="Arial" w:hAnsi="Arial" w:cs="Arial"/>
        </w:rPr>
        <w:t> </w:t>
      </w:r>
      <w:r w:rsidRPr="009C12C4">
        <w:rPr>
          <w:i/>
          <w:iCs/>
        </w:rPr>
        <w:t>venózní krev</w:t>
      </w:r>
      <w:r w:rsidRPr="009C12C4">
        <w:t> </w:t>
      </w:r>
    </w:p>
    <w:p w14:paraId="798A6715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rPr>
          <w:b/>
          <w:bCs/>
        </w:rPr>
        <w:t>Kyselina močová</w:t>
      </w:r>
      <w:r>
        <w:rPr>
          <w:b/>
          <w:bCs/>
        </w:rPr>
        <w:t xml:space="preserve"> </w:t>
      </w:r>
      <w:r w:rsidRPr="00366174">
        <w:rPr>
          <w:b/>
          <w:bCs/>
        </w:rPr>
        <w:t>v moči</w:t>
      </w:r>
      <w:r w:rsidRPr="009C12C4">
        <w:rPr>
          <w:b/>
          <w:bCs/>
        </w:rPr>
        <w:t> </w:t>
      </w:r>
      <w:r w:rsidRPr="009C12C4">
        <w:t>[mmol/l]</w:t>
      </w:r>
      <w:r w:rsidRPr="009C12C4">
        <w:rPr>
          <w:b/>
          <w:bCs/>
        </w:rPr>
        <w:t> </w:t>
      </w:r>
    </w:p>
    <w:p w14:paraId="4DA1934E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t>-</w:t>
      </w:r>
      <w:r w:rsidRPr="009C12C4">
        <w:rPr>
          <w:rFonts w:ascii="Arial" w:hAnsi="Arial" w:cs="Arial"/>
        </w:rPr>
        <w:t> </w:t>
      </w:r>
      <w:r w:rsidRPr="009C12C4">
        <w:rPr>
          <w:i/>
          <w:iCs/>
        </w:rPr>
        <w:t>první ranní moč ze středního proudu</w:t>
      </w:r>
      <w:r w:rsidRPr="009C12C4">
        <w:t> </w:t>
      </w:r>
    </w:p>
    <w:p w14:paraId="4A9CE8C8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C - peptid</w:t>
      </w:r>
      <w:r w:rsidRPr="009C12C4">
        <w:t> [pmol/l] preprandiální a postprandiální</w:t>
      </w:r>
    </w:p>
    <w:p w14:paraId="009B2B82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 xml:space="preserve">venózní krev, odběr po min. 8 hodinách lačnění, </w:t>
      </w:r>
      <w:r w:rsidRPr="009C12C4">
        <w:rPr>
          <w:i/>
          <w:iCs/>
          <w:u w:val="single"/>
        </w:rPr>
        <w:t xml:space="preserve">odběr </w:t>
      </w:r>
      <w:r>
        <w:rPr>
          <w:i/>
          <w:iCs/>
          <w:u w:val="single"/>
        </w:rPr>
        <w:t xml:space="preserve">1 hodinu </w:t>
      </w:r>
      <w:r w:rsidRPr="009C12C4">
        <w:rPr>
          <w:i/>
          <w:iCs/>
          <w:u w:val="single"/>
        </w:rPr>
        <w:t>po stimulačním</w:t>
      </w:r>
      <w:r>
        <w:rPr>
          <w:i/>
          <w:iCs/>
          <w:u w:val="single"/>
        </w:rPr>
        <w:t xml:space="preserve"> </w:t>
      </w:r>
      <w:r w:rsidRPr="009C12C4">
        <w:rPr>
          <w:i/>
          <w:iCs/>
          <w:u w:val="single"/>
        </w:rPr>
        <w:t>testu</w:t>
      </w:r>
    </w:p>
    <w:p w14:paraId="5BE0CE73" w14:textId="5B6C8E5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rPr>
          <w:b/>
          <w:bCs/>
        </w:rPr>
        <w:t>Inzulin</w:t>
      </w:r>
      <w:r w:rsidRPr="009C12C4">
        <w:t> [mIU/l]</w:t>
      </w:r>
      <w:r w:rsidR="00BC59A0">
        <w:t xml:space="preserve"> mimo sledovaných na terapii inzulínem</w:t>
      </w:r>
    </w:p>
    <w:p w14:paraId="5A5D02C5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t>- </w:t>
      </w:r>
      <w:r w:rsidRPr="009C12C4">
        <w:rPr>
          <w:i/>
          <w:iCs/>
        </w:rPr>
        <w:t>venózní krev, odběr po min. 8 hodinách lačnění</w:t>
      </w:r>
    </w:p>
    <w:p w14:paraId="3D402193" w14:textId="77777777" w:rsidR="00EA3FC9" w:rsidRPr="009C12C4" w:rsidRDefault="00EA3FC9" w:rsidP="00EA3FC9">
      <w:pPr>
        <w:spacing w:after="0" w:line="240" w:lineRule="auto"/>
        <w:ind w:firstLine="1"/>
        <w:rPr>
          <w:lang w:val="fr-FR"/>
        </w:rPr>
      </w:pPr>
      <w:r w:rsidRPr="009C12C4">
        <w:rPr>
          <w:b/>
          <w:bCs/>
        </w:rPr>
        <w:t>HOMA - IR</w:t>
      </w:r>
      <w:r w:rsidRPr="009C12C4">
        <w:t> [--]</w:t>
      </w:r>
    </w:p>
    <w:p w14:paraId="6054CE5B" w14:textId="77777777" w:rsidR="00EA3FC9" w:rsidRPr="009C12C4" w:rsidRDefault="00EA3FC9" w:rsidP="00EA3FC9">
      <w:pPr>
        <w:spacing w:after="0" w:line="240" w:lineRule="auto"/>
        <w:ind w:firstLine="1"/>
        <w:rPr>
          <w:lang w:val="fr-FR"/>
        </w:rPr>
      </w:pPr>
      <w:r w:rsidRPr="009C12C4">
        <w:t>- </w:t>
      </w:r>
      <w:r w:rsidRPr="009C12C4">
        <w:rPr>
          <w:i/>
          <w:iCs/>
        </w:rPr>
        <w:t>výpočet</w:t>
      </w:r>
    </w:p>
    <w:p w14:paraId="307D5D9D" w14:textId="77777777" w:rsidR="00EA3FC9" w:rsidRPr="009C12C4" w:rsidRDefault="00EA3FC9" w:rsidP="00EA3FC9">
      <w:pPr>
        <w:spacing w:after="0" w:line="240" w:lineRule="auto"/>
        <w:ind w:firstLine="1"/>
        <w:rPr>
          <w:lang w:val="fr-FR"/>
        </w:rPr>
      </w:pPr>
      <w:r w:rsidRPr="009C12C4">
        <w:rPr>
          <w:b/>
          <w:bCs/>
        </w:rPr>
        <w:t>Fruktosamin</w:t>
      </w:r>
      <w:r>
        <w:t xml:space="preserve"> </w:t>
      </w:r>
      <w:r w:rsidRPr="009C12C4">
        <w:t>[µmol/l]</w:t>
      </w:r>
    </w:p>
    <w:p w14:paraId="547D20BB" w14:textId="77777777" w:rsidR="00EA3FC9" w:rsidRPr="009C12C4" w:rsidRDefault="00EA3FC9" w:rsidP="00EA3FC9">
      <w:pPr>
        <w:spacing w:after="0" w:line="240" w:lineRule="auto"/>
        <w:ind w:firstLine="1"/>
        <w:rPr>
          <w:lang w:val="fr-FR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5F5D97D3" w14:textId="77777777" w:rsidR="00EA3FC9" w:rsidRPr="009C12C4" w:rsidRDefault="00EA3FC9" w:rsidP="00EA3FC9">
      <w:pPr>
        <w:spacing w:after="0" w:line="240" w:lineRule="auto"/>
        <w:ind w:firstLine="1"/>
        <w:rPr>
          <w:lang w:val="fr-FR"/>
        </w:rPr>
      </w:pPr>
      <w:r w:rsidRPr="009C12C4">
        <w:rPr>
          <w:b/>
          <w:bCs/>
        </w:rPr>
        <w:t>Glykovaný hemoglobin HbA1</w:t>
      </w:r>
      <w:r w:rsidRPr="009C12C4">
        <w:rPr>
          <w:b/>
          <w:bCs/>
          <w:vertAlign w:val="subscript"/>
        </w:rPr>
        <w:t>C</w:t>
      </w:r>
      <w:r w:rsidRPr="009C12C4">
        <w:t> [mmol/mol]</w:t>
      </w:r>
    </w:p>
    <w:p w14:paraId="24965717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3697D43D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Celkový cholesterol</w:t>
      </w:r>
      <w:r w:rsidRPr="009C12C4">
        <w:t> [mmol/l]</w:t>
      </w:r>
    </w:p>
    <w:p w14:paraId="79B5FB8D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558056CB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HDL cholesterol</w:t>
      </w:r>
      <w:r w:rsidRPr="009C12C4">
        <w:t> [mmol/l]</w:t>
      </w:r>
    </w:p>
    <w:p w14:paraId="378E8C47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3EB196F7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LDL cholesterol</w:t>
      </w:r>
      <w:r w:rsidRPr="009C12C4">
        <w:t> [</w:t>
      </w:r>
      <w:proofErr w:type="spellStart"/>
      <w:r w:rsidRPr="009C12C4">
        <w:t>mmol</w:t>
      </w:r>
      <w:proofErr w:type="spellEnd"/>
      <w:r w:rsidRPr="009C12C4">
        <w:t>/l]</w:t>
      </w:r>
    </w:p>
    <w:p w14:paraId="3DF95520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21438CD6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Triacylglyceroly</w:t>
      </w:r>
      <w:r w:rsidRPr="009C12C4">
        <w:t> [mmol/l]</w:t>
      </w:r>
    </w:p>
    <w:p w14:paraId="377EA9E9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11492404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bilirubin</w:t>
      </w:r>
      <w:r w:rsidRPr="009C12C4">
        <w:t> [µmol/l]</w:t>
      </w:r>
    </w:p>
    <w:p w14:paraId="3DF77529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59567937" w14:textId="77777777" w:rsidR="00EA3FC9" w:rsidRPr="003B473B" w:rsidRDefault="00EA3FC9" w:rsidP="00EA3FC9">
      <w:pPr>
        <w:spacing w:after="0" w:line="240" w:lineRule="auto"/>
        <w:ind w:firstLine="1"/>
        <w:rPr>
          <w:lang w:val="de-DE"/>
        </w:rPr>
      </w:pPr>
      <w:r w:rsidRPr="009C12C4">
        <w:rPr>
          <w:b/>
          <w:bCs/>
        </w:rPr>
        <w:lastRenderedPageBreak/>
        <w:t>alaninaminotransferáza</w:t>
      </w:r>
      <w:r w:rsidRPr="009C12C4">
        <w:t> [µkat/l] „ALT“</w:t>
      </w:r>
    </w:p>
    <w:p w14:paraId="65750C38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5662A6FF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aspartátaminotransferáza</w:t>
      </w:r>
      <w:r w:rsidRPr="009C12C4">
        <w:t> [µkat/l] „AST“</w:t>
      </w:r>
    </w:p>
    <w:p w14:paraId="21AD58A2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122E0A15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gama-glutamiltransferáza</w:t>
      </w:r>
      <w:r w:rsidRPr="009C12C4">
        <w:t> [µkat/l] „GGT“</w:t>
      </w:r>
    </w:p>
    <w:p w14:paraId="0B458932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05ACF42C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alkalická fosfatáza</w:t>
      </w:r>
      <w:r w:rsidRPr="009C12C4">
        <w:t> [µkat/l] „ALP“</w:t>
      </w:r>
    </w:p>
    <w:p w14:paraId="571FE784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7E01A13E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cholinesteráza</w:t>
      </w:r>
      <w:r w:rsidRPr="009C12C4">
        <w:t> [µkat/l] „CHE“</w:t>
      </w:r>
    </w:p>
    <w:p w14:paraId="1F93D61D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0589E37E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apolipoprotein A-I</w:t>
      </w:r>
      <w:r w:rsidRPr="009C12C4">
        <w:t> [g/l]</w:t>
      </w:r>
    </w:p>
    <w:p w14:paraId="15E8FACB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25EA030F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alfa-2-makroglobulin</w:t>
      </w:r>
      <w:r w:rsidRPr="009C12C4">
        <w:t> [g/l]</w:t>
      </w:r>
    </w:p>
    <w:p w14:paraId="1D840A9A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t>- </w:t>
      </w:r>
      <w:r w:rsidRPr="009C12C4">
        <w:rPr>
          <w:i/>
          <w:iCs/>
        </w:rPr>
        <w:t>venózní krev</w:t>
      </w:r>
    </w:p>
    <w:p w14:paraId="6D97799A" w14:textId="77777777" w:rsidR="00EA3FC9" w:rsidRPr="009C12C4" w:rsidRDefault="00EA3FC9" w:rsidP="00EA3FC9">
      <w:pPr>
        <w:spacing w:after="0" w:line="240" w:lineRule="auto"/>
        <w:ind w:firstLine="1"/>
        <w:rPr>
          <w:lang w:val="en-US"/>
        </w:rPr>
      </w:pPr>
      <w:r w:rsidRPr="009C12C4">
        <w:rPr>
          <w:b/>
          <w:bCs/>
        </w:rPr>
        <w:t>FIB-4</w:t>
      </w:r>
      <w:r w:rsidRPr="009C12C4">
        <w:t> [--]</w:t>
      </w:r>
    </w:p>
    <w:p w14:paraId="672109F8" w14:textId="77777777" w:rsidR="00EA3FC9" w:rsidRPr="00B87A4C" w:rsidRDefault="00EA3FC9" w:rsidP="00EA3FC9">
      <w:pPr>
        <w:spacing w:after="0" w:line="240" w:lineRule="auto"/>
        <w:ind w:firstLine="1"/>
        <w:rPr>
          <w:color w:val="auto"/>
          <w:lang w:val="en-US"/>
        </w:rPr>
      </w:pPr>
      <w:r w:rsidRPr="009C12C4">
        <w:t>- </w:t>
      </w:r>
      <w:r w:rsidRPr="009C12C4">
        <w:rPr>
          <w:i/>
          <w:iCs/>
        </w:rPr>
        <w:t>výpočet</w:t>
      </w:r>
      <w:r>
        <w:rPr>
          <w:i/>
          <w:iCs/>
        </w:rPr>
        <w:t xml:space="preserve"> (</w:t>
      </w:r>
      <w:r w:rsidRPr="00903A1E">
        <w:rPr>
          <w:b/>
          <w:bCs/>
          <w:i/>
          <w:iCs/>
          <w:color w:val="auto"/>
        </w:rPr>
        <w:t>pro výpočet je mj. třeba znát věk pacienta</w:t>
      </w:r>
      <w:r>
        <w:rPr>
          <w:color w:val="auto"/>
        </w:rPr>
        <w:t>)</w:t>
      </w:r>
    </w:p>
    <w:p w14:paraId="79886733" w14:textId="77777777" w:rsidR="00EA3FC9" w:rsidRDefault="00EA3FC9" w:rsidP="00EA3FC9">
      <w:pPr>
        <w:spacing w:after="0" w:line="240" w:lineRule="auto"/>
        <w:ind w:firstLine="1"/>
      </w:pPr>
    </w:p>
    <w:p w14:paraId="00EC1641" w14:textId="77777777" w:rsidR="00EA3FC9" w:rsidRDefault="00EA3FC9" w:rsidP="00EA3FC9">
      <w:pPr>
        <w:spacing w:line="240" w:lineRule="auto"/>
      </w:pPr>
      <w:r>
        <w:t>Výsledky provedení laboratoraní diagnostiky budou předávány lázeňskému zařízení ve standardním termínu a formátu, tj. nejpozději do druhého pracovního dne v podobě „klasické“ laboratorní zprávy.</w:t>
      </w:r>
    </w:p>
    <w:p w14:paraId="7C1E5F80" w14:textId="031C3135" w:rsidR="00EA3FC9" w:rsidRDefault="00EA3FC9" w:rsidP="00EA3FC9">
      <w:pPr>
        <w:tabs>
          <w:tab w:val="left" w:pos="0"/>
        </w:tabs>
        <w:spacing w:line="240" w:lineRule="auto"/>
      </w:pPr>
      <w:proofErr w:type="spellStart"/>
      <w:r>
        <w:t>ILaBu</w:t>
      </w:r>
      <w:proofErr w:type="spellEnd"/>
      <w:r>
        <w:t xml:space="preserve"> budou p</w:t>
      </w:r>
      <w:r w:rsidRPr="005A6CE7">
        <w:t>ředáván</w:t>
      </w:r>
      <w:r>
        <w:t>a</w:t>
      </w:r>
      <w:r w:rsidRPr="005A6CE7">
        <w:t xml:space="preserve"> </w:t>
      </w:r>
      <w:proofErr w:type="spellStart"/>
      <w:r>
        <w:rPr>
          <w:b/>
          <w:bCs/>
          <w:u w:val="single"/>
        </w:rPr>
        <w:t>pseudonymizová</w:t>
      </w:r>
      <w:proofErr w:type="spellEnd"/>
      <w:r w:rsidRPr="00411154">
        <w:rPr>
          <w:b/>
          <w:bCs/>
        </w:rPr>
        <w:t xml:space="preserve"> </w:t>
      </w:r>
      <w:r w:rsidRPr="005A6CE7">
        <w:t>dat</w:t>
      </w:r>
      <w:r>
        <w:t>a</w:t>
      </w:r>
      <w:r w:rsidRPr="005A6CE7">
        <w:t xml:space="preserve">, dle </w:t>
      </w:r>
      <w:r>
        <w:t xml:space="preserve">vzájemně odsouhlaseného </w:t>
      </w:r>
      <w:r w:rsidRPr="005A6CE7">
        <w:t xml:space="preserve">harmonogramu, </w:t>
      </w:r>
      <w:r>
        <w:t>a to ve formátu standardní souhrnné laboratorní zprávy (.pdf) a dále v předem odsouhlasené tabulce ve formátu .xls(x)</w:t>
      </w:r>
      <w:r w:rsidR="007B0475">
        <w:t xml:space="preserve"> (nebo .csv)</w:t>
      </w:r>
      <w:r>
        <w:t xml:space="preserve">. Všechna data předávaná ILaBu musí být </w:t>
      </w:r>
      <w:r>
        <w:rPr>
          <w:b/>
          <w:bCs/>
          <w:u w:val="single"/>
        </w:rPr>
        <w:t>pseudonymizovaná</w:t>
      </w:r>
      <w:r>
        <w:t xml:space="preserve"> – tedy opatřena pouze „ID kódy“ jednotlivých pacientů. Při spolupráci s lázeňskými zařízeními je třeba dbát zvýšené opatrnosti, aby nedošlo k záměně použitých kódů v rámci jednotlivých pacientů! Laboratoř zodpovídá za správné použití ID kódů pacienta a je její zodpovědností, že nedojde k záměně.</w:t>
      </w:r>
    </w:p>
    <w:p w14:paraId="54B896CF" w14:textId="77777777" w:rsidR="00817886" w:rsidRDefault="00817886" w:rsidP="00817886">
      <w:pPr>
        <w:spacing w:after="0" w:line="240" w:lineRule="auto"/>
        <w:jc w:val="left"/>
        <w:rPr>
          <w:b/>
          <w:bCs/>
        </w:rPr>
      </w:pPr>
    </w:p>
    <w:p w14:paraId="360B748B" w14:textId="77777777" w:rsidR="00817886" w:rsidRDefault="00817886" w:rsidP="00817886">
      <w:pPr>
        <w:spacing w:after="0" w:line="240" w:lineRule="auto"/>
        <w:jc w:val="left"/>
        <w:rPr>
          <w:b/>
          <w:bCs/>
        </w:rPr>
      </w:pPr>
    </w:p>
    <w:p w14:paraId="3DEBF809" w14:textId="487E72EB" w:rsidR="00EA3FC9" w:rsidRDefault="00EA3FC9" w:rsidP="00817886">
      <w:pPr>
        <w:spacing w:after="0" w:line="240" w:lineRule="auto"/>
        <w:jc w:val="left"/>
        <w:rPr>
          <w:b/>
          <w:bCs/>
        </w:rPr>
      </w:pPr>
      <w:r w:rsidRPr="00E74850">
        <w:rPr>
          <w:b/>
          <w:bCs/>
        </w:rPr>
        <w:t>S</w:t>
      </w:r>
      <w:r>
        <w:rPr>
          <w:b/>
          <w:bCs/>
        </w:rPr>
        <w:t>PECIÁL</w:t>
      </w:r>
      <w:r w:rsidRPr="00E74850">
        <w:rPr>
          <w:b/>
          <w:bCs/>
        </w:rPr>
        <w:t>NÍ ODBĚRY</w:t>
      </w:r>
    </w:p>
    <w:p w14:paraId="209753BB" w14:textId="77777777" w:rsidR="00EA3FC9" w:rsidRDefault="00EA3FC9" w:rsidP="00EA3FC9">
      <w:pPr>
        <w:pStyle w:val="Odstavecseseznamem"/>
        <w:numPr>
          <w:ilvl w:val="0"/>
          <w:numId w:val="41"/>
        </w:numPr>
        <w:tabs>
          <w:tab w:val="left" w:pos="426"/>
        </w:tabs>
        <w:spacing w:after="0" w:line="240" w:lineRule="auto"/>
        <w:ind w:left="426" w:hanging="426"/>
        <w:contextualSpacing w:val="0"/>
        <w:rPr>
          <w:u w:val="single"/>
        </w:rPr>
      </w:pPr>
      <w:r w:rsidRPr="005C5F0C">
        <w:rPr>
          <w:u w:val="single"/>
        </w:rPr>
        <w:t>změny metabolomu, proteomu, markerů zánětu v</w:t>
      </w:r>
      <w:r>
        <w:rPr>
          <w:u w:val="single"/>
        </w:rPr>
        <w:t> </w:t>
      </w:r>
      <w:r w:rsidRPr="005C5F0C">
        <w:rPr>
          <w:u w:val="single"/>
        </w:rPr>
        <w:t>plazmě</w:t>
      </w:r>
    </w:p>
    <w:p w14:paraId="6873DF6F" w14:textId="77777777" w:rsidR="00EA3FC9" w:rsidRDefault="00EA3FC9" w:rsidP="00EA3FC9">
      <w:pPr>
        <w:spacing w:after="0" w:line="240" w:lineRule="auto"/>
        <w:ind w:left="426"/>
      </w:pPr>
      <w:r>
        <w:t xml:space="preserve">materiál: </w:t>
      </w:r>
      <w:r w:rsidRPr="00C75833">
        <w:rPr>
          <w:b/>
          <w:bCs/>
        </w:rPr>
        <w:t>plazma</w:t>
      </w:r>
    </w:p>
    <w:p w14:paraId="404F8F7F" w14:textId="77777777" w:rsidR="00EA3FC9" w:rsidRDefault="00EA3FC9" w:rsidP="00EA3FC9">
      <w:pPr>
        <w:spacing w:after="0" w:line="240" w:lineRule="auto"/>
        <w:ind w:left="426"/>
      </w:pPr>
      <w:r>
        <w:t xml:space="preserve">cílový objem plazmy: </w:t>
      </w:r>
      <w:r w:rsidRPr="00C75833">
        <w:rPr>
          <w:b/>
          <w:bCs/>
        </w:rPr>
        <w:t>2 ml</w:t>
      </w:r>
    </w:p>
    <w:p w14:paraId="4740E3BD" w14:textId="77777777" w:rsidR="00EA3FC9" w:rsidRPr="00E9457E" w:rsidRDefault="00EA3FC9" w:rsidP="00EA3FC9">
      <w:pPr>
        <w:spacing w:after="0" w:line="240" w:lineRule="auto"/>
        <w:ind w:left="425"/>
      </w:pPr>
      <w:r>
        <w:t>příprava plazmy:</w:t>
      </w:r>
    </w:p>
    <w:p w14:paraId="1F6D9304" w14:textId="6B987639" w:rsidR="00EA3FC9" w:rsidRPr="005C5F0C" w:rsidRDefault="004146F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>
        <w:rPr>
          <w:b/>
          <w:bCs/>
        </w:rPr>
        <w:t xml:space="preserve">lázeňské zařízení </w:t>
      </w:r>
      <w:r w:rsidR="00EA3FC9" w:rsidRPr="005C5F0C">
        <w:rPr>
          <w:b/>
          <w:bCs/>
        </w:rPr>
        <w:t>odeb</w:t>
      </w:r>
      <w:r>
        <w:rPr>
          <w:b/>
          <w:bCs/>
        </w:rPr>
        <w:t>e</w:t>
      </w:r>
      <w:r w:rsidR="00EA3FC9" w:rsidRPr="005C5F0C">
        <w:rPr>
          <w:b/>
          <w:bCs/>
        </w:rPr>
        <w:t>r</w:t>
      </w:r>
      <w:r>
        <w:rPr>
          <w:b/>
          <w:bCs/>
        </w:rPr>
        <w:t>e</w:t>
      </w:r>
      <w:r w:rsidR="00EA3FC9" w:rsidRPr="005C5F0C">
        <w:rPr>
          <w:b/>
          <w:bCs/>
        </w:rPr>
        <w:t xml:space="preserve"> 10 ml krve do zkumavky </w:t>
      </w:r>
    </w:p>
    <w:p w14:paraId="49ADD3A0" w14:textId="77777777" w:rsidR="00EA3FC9" w:rsidRPr="005C5F0C" w:rsidRDefault="00EA3FC9" w:rsidP="00EA3FC9">
      <w:pPr>
        <w:pStyle w:val="Odstavecseseznamem"/>
        <w:tabs>
          <w:tab w:val="left" w:pos="851"/>
        </w:tabs>
        <w:spacing w:after="0" w:line="240" w:lineRule="auto"/>
        <w:ind w:left="851"/>
        <w:rPr>
          <w:i/>
          <w:iCs/>
        </w:rPr>
      </w:pPr>
      <w:r>
        <w:rPr>
          <w:i/>
          <w:iCs/>
        </w:rPr>
        <w:t xml:space="preserve">+ </w:t>
      </w:r>
      <w:r w:rsidRPr="005C5F0C">
        <w:rPr>
          <w:i/>
          <w:iCs/>
        </w:rPr>
        <w:t>anti-koagulant K2EDTA - levandulový uzávěr</w:t>
      </w:r>
    </w:p>
    <w:p w14:paraId="2C9C6C6E" w14:textId="52FC5CD9" w:rsidR="00EA3FC9" w:rsidRPr="005C5F0C" w:rsidRDefault="004146F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>
        <w:rPr>
          <w:b/>
          <w:bCs/>
        </w:rPr>
        <w:t xml:space="preserve">laboratoř </w:t>
      </w:r>
      <w:r w:rsidR="00EA3FC9" w:rsidRPr="005C5F0C">
        <w:rPr>
          <w:b/>
          <w:bCs/>
        </w:rPr>
        <w:t>krev stoč</w:t>
      </w:r>
      <w:r>
        <w:rPr>
          <w:b/>
          <w:bCs/>
        </w:rPr>
        <w:t>í</w:t>
      </w:r>
      <w:r w:rsidR="00EA3FC9" w:rsidRPr="005C5F0C">
        <w:rPr>
          <w:b/>
          <w:bCs/>
        </w:rPr>
        <w:t xml:space="preserve"> 10 min 1900 x g při 4 °C</w:t>
      </w:r>
    </w:p>
    <w:p w14:paraId="07F8807F" w14:textId="3682D011" w:rsidR="00EA3FC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</w:pPr>
      <w:r w:rsidRPr="00E9457E">
        <w:rPr>
          <w:b/>
          <w:bCs/>
        </w:rPr>
        <w:t xml:space="preserve">po stočení </w:t>
      </w:r>
      <w:proofErr w:type="spellStart"/>
      <w:r w:rsidRPr="00E9457E">
        <w:rPr>
          <w:b/>
          <w:bCs/>
        </w:rPr>
        <w:t>přepipet</w:t>
      </w:r>
      <w:r w:rsidR="004146F9">
        <w:rPr>
          <w:b/>
          <w:bCs/>
        </w:rPr>
        <w:t>uje</w:t>
      </w:r>
      <w:proofErr w:type="spellEnd"/>
      <w:r w:rsidRPr="00E9457E">
        <w:rPr>
          <w:b/>
          <w:bCs/>
        </w:rPr>
        <w:t xml:space="preserve"> plazmu</w:t>
      </w:r>
      <w:r>
        <w:t xml:space="preserve"> </w:t>
      </w:r>
      <w:r w:rsidRPr="00411154">
        <w:rPr>
          <w:b/>
          <w:bCs/>
        </w:rPr>
        <w:t>do 2ml RNAse-free Eppendorf zkumavky</w:t>
      </w:r>
      <w:r w:rsidRPr="008C01C0">
        <w:t xml:space="preserve"> </w:t>
      </w:r>
    </w:p>
    <w:p w14:paraId="63663504" w14:textId="77777777" w:rsidR="00EA3FC9" w:rsidRPr="00A72A1C" w:rsidRDefault="00EA3FC9" w:rsidP="00EA3FC9">
      <w:pPr>
        <w:pStyle w:val="Odstavecseseznamem"/>
        <w:tabs>
          <w:tab w:val="left" w:pos="851"/>
        </w:tabs>
        <w:spacing w:after="0" w:line="240" w:lineRule="auto"/>
        <w:ind w:left="851" w:hanging="425"/>
        <w:rPr>
          <w:i/>
          <w:iCs/>
        </w:rPr>
      </w:pPr>
      <w:r w:rsidRPr="00A72A1C">
        <w:rPr>
          <w:i/>
          <w:iCs/>
        </w:rPr>
        <w:tab/>
        <w:t>Eppendorf® Safe-Lock microcentrifuge tubes EP022363344, Merck</w:t>
      </w:r>
    </w:p>
    <w:p w14:paraId="630CD316" w14:textId="77777777" w:rsidR="00EA3FC9" w:rsidRPr="00B46B1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B46B19">
        <w:rPr>
          <w:b/>
          <w:bCs/>
        </w:rPr>
        <w:t>zkumavky chladit na ledu</w:t>
      </w:r>
    </w:p>
    <w:p w14:paraId="7E0ADDC3" w14:textId="77777777" w:rsidR="00EA3FC9" w:rsidRPr="00B46B1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line="240" w:lineRule="auto"/>
        <w:ind w:left="850" w:hanging="425"/>
        <w:contextualSpacing w:val="0"/>
        <w:rPr>
          <w:b/>
          <w:bCs/>
        </w:rPr>
      </w:pPr>
      <w:r w:rsidRPr="00B46B19">
        <w:rPr>
          <w:b/>
          <w:bCs/>
        </w:rPr>
        <w:t>přenést do </w:t>
      </w:r>
      <w:r>
        <w:rPr>
          <w:b/>
          <w:bCs/>
        </w:rPr>
        <w:t>–</w:t>
      </w:r>
      <w:r w:rsidRPr="00B46B19">
        <w:rPr>
          <w:b/>
          <w:bCs/>
        </w:rPr>
        <w:t>80</w:t>
      </w:r>
      <w:r>
        <w:rPr>
          <w:b/>
          <w:bCs/>
        </w:rPr>
        <w:t> </w:t>
      </w:r>
      <w:r w:rsidRPr="00B46B19">
        <w:rPr>
          <w:b/>
          <w:bCs/>
        </w:rPr>
        <w:t>°C</w:t>
      </w:r>
      <w:r>
        <w:rPr>
          <w:b/>
          <w:bCs/>
        </w:rPr>
        <w:t>;</w:t>
      </w:r>
    </w:p>
    <w:p w14:paraId="01EA7BD4" w14:textId="77777777" w:rsidR="00EA3FC9" w:rsidRDefault="00EA3FC9" w:rsidP="00EA3FC9">
      <w:pPr>
        <w:pStyle w:val="Odstavecseseznamem"/>
        <w:numPr>
          <w:ilvl w:val="0"/>
          <w:numId w:val="41"/>
        </w:numPr>
        <w:tabs>
          <w:tab w:val="left" w:pos="426"/>
        </w:tabs>
        <w:spacing w:after="0" w:line="240" w:lineRule="auto"/>
        <w:ind w:left="426" w:hanging="426"/>
        <w:contextualSpacing w:val="0"/>
        <w:rPr>
          <w:u w:val="single"/>
        </w:rPr>
      </w:pPr>
      <w:r w:rsidRPr="00A37D43">
        <w:rPr>
          <w:u w:val="single"/>
        </w:rPr>
        <w:t>sledování vlivu KL</w:t>
      </w:r>
      <w:r>
        <w:rPr>
          <w:u w:val="single"/>
        </w:rPr>
        <w:t>P</w:t>
      </w:r>
      <w:r w:rsidRPr="00A37D43">
        <w:rPr>
          <w:u w:val="single"/>
        </w:rPr>
        <w:t xml:space="preserve"> na epitranskriptomické regulace a znaky</w:t>
      </w:r>
    </w:p>
    <w:p w14:paraId="1B9D1C68" w14:textId="77777777" w:rsidR="00EA3FC9" w:rsidRDefault="00EA3FC9" w:rsidP="00EA3FC9">
      <w:pPr>
        <w:spacing w:after="0" w:line="240" w:lineRule="auto"/>
        <w:ind w:left="426"/>
      </w:pPr>
      <w:r>
        <w:t xml:space="preserve">materiál: </w:t>
      </w:r>
      <w:r w:rsidRPr="00601E21">
        <w:rPr>
          <w:b/>
          <w:bCs/>
        </w:rPr>
        <w:t>plazma</w:t>
      </w:r>
    </w:p>
    <w:p w14:paraId="75577196" w14:textId="77777777" w:rsidR="00EA3FC9" w:rsidRDefault="00EA3FC9" w:rsidP="00EA3FC9">
      <w:pPr>
        <w:spacing w:after="0" w:line="240" w:lineRule="auto"/>
        <w:ind w:left="426"/>
      </w:pPr>
      <w:r>
        <w:t xml:space="preserve">cílový objem plazmy: </w:t>
      </w:r>
      <w:r w:rsidRPr="00601E21">
        <w:rPr>
          <w:b/>
          <w:bCs/>
        </w:rPr>
        <w:t>2 ml</w:t>
      </w:r>
    </w:p>
    <w:p w14:paraId="36AD73FD" w14:textId="77777777" w:rsidR="00EA3FC9" w:rsidRPr="00E9457E" w:rsidRDefault="00EA3FC9" w:rsidP="00EA3FC9">
      <w:pPr>
        <w:spacing w:after="0" w:line="240" w:lineRule="auto"/>
        <w:ind w:left="426"/>
      </w:pPr>
      <w:r>
        <w:t>příprava plazmy:</w:t>
      </w:r>
    </w:p>
    <w:p w14:paraId="37478B59" w14:textId="5374F0D8" w:rsidR="00EA3FC9" w:rsidRDefault="004146F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>
        <w:rPr>
          <w:b/>
          <w:bCs/>
        </w:rPr>
        <w:t xml:space="preserve">lázeňské zařízení </w:t>
      </w:r>
      <w:r w:rsidR="00EA3FC9" w:rsidRPr="002D74BD">
        <w:rPr>
          <w:b/>
          <w:bCs/>
        </w:rPr>
        <w:t>odeb</w:t>
      </w:r>
      <w:r>
        <w:rPr>
          <w:b/>
          <w:bCs/>
        </w:rPr>
        <w:t>e</w:t>
      </w:r>
      <w:r w:rsidR="00EA3FC9" w:rsidRPr="002D74BD">
        <w:rPr>
          <w:b/>
          <w:bCs/>
        </w:rPr>
        <w:t>r</w:t>
      </w:r>
      <w:r>
        <w:rPr>
          <w:b/>
          <w:bCs/>
        </w:rPr>
        <w:t>e</w:t>
      </w:r>
      <w:r w:rsidR="00EA3FC9" w:rsidRPr="002D74BD">
        <w:rPr>
          <w:b/>
          <w:bCs/>
        </w:rPr>
        <w:t xml:space="preserve"> 10</w:t>
      </w:r>
      <w:r w:rsidR="00EA3FC9">
        <w:rPr>
          <w:b/>
          <w:bCs/>
        </w:rPr>
        <w:t xml:space="preserve"> </w:t>
      </w:r>
      <w:r w:rsidR="00EA3FC9" w:rsidRPr="002D74BD">
        <w:rPr>
          <w:b/>
          <w:bCs/>
        </w:rPr>
        <w:t xml:space="preserve">ml krve do zkumavky </w:t>
      </w:r>
    </w:p>
    <w:p w14:paraId="4EB9B863" w14:textId="77777777" w:rsidR="00EA3FC9" w:rsidRPr="0062046A" w:rsidRDefault="00EA3FC9" w:rsidP="00EA3FC9">
      <w:pPr>
        <w:pStyle w:val="Odstavecseseznamem"/>
        <w:tabs>
          <w:tab w:val="left" w:pos="851"/>
        </w:tabs>
        <w:spacing w:after="0" w:line="240" w:lineRule="auto"/>
        <w:ind w:left="851"/>
        <w:rPr>
          <w:i/>
          <w:iCs/>
        </w:rPr>
      </w:pPr>
      <w:r>
        <w:rPr>
          <w:i/>
          <w:iCs/>
        </w:rPr>
        <w:t xml:space="preserve">+ </w:t>
      </w:r>
      <w:r w:rsidRPr="0062046A">
        <w:rPr>
          <w:i/>
          <w:iCs/>
        </w:rPr>
        <w:t>anti-koagulant K2EDTA - levandulový uzávěr</w:t>
      </w:r>
    </w:p>
    <w:p w14:paraId="45E38CC0" w14:textId="4848720C" w:rsidR="00EA3FC9" w:rsidRPr="002D74BD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2D74BD">
        <w:rPr>
          <w:b/>
          <w:bCs/>
        </w:rPr>
        <w:t>krev stoč</w:t>
      </w:r>
      <w:r w:rsidR="004146F9">
        <w:rPr>
          <w:b/>
          <w:bCs/>
        </w:rPr>
        <w:t>í</w:t>
      </w:r>
      <w:r w:rsidRPr="002D74BD">
        <w:rPr>
          <w:b/>
          <w:bCs/>
        </w:rPr>
        <w:t xml:space="preserve"> 10 min 1900 x g při 4</w:t>
      </w:r>
      <w:r>
        <w:rPr>
          <w:b/>
          <w:bCs/>
        </w:rPr>
        <w:t> </w:t>
      </w:r>
      <w:r w:rsidRPr="002D74BD">
        <w:rPr>
          <w:b/>
          <w:bCs/>
        </w:rPr>
        <w:t>°C</w:t>
      </w:r>
    </w:p>
    <w:p w14:paraId="459B72F9" w14:textId="1E4C1F90" w:rsidR="00EA3FC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2D74BD">
        <w:rPr>
          <w:b/>
          <w:bCs/>
        </w:rPr>
        <w:t xml:space="preserve">po stočení </w:t>
      </w:r>
      <w:proofErr w:type="spellStart"/>
      <w:r w:rsidRPr="002D74BD">
        <w:rPr>
          <w:b/>
          <w:bCs/>
        </w:rPr>
        <w:t>přepipet</w:t>
      </w:r>
      <w:r w:rsidR="004146F9">
        <w:rPr>
          <w:b/>
          <w:bCs/>
        </w:rPr>
        <w:t>uje</w:t>
      </w:r>
      <w:proofErr w:type="spellEnd"/>
      <w:r>
        <w:rPr>
          <w:b/>
          <w:bCs/>
        </w:rPr>
        <w:t xml:space="preserve"> </w:t>
      </w:r>
      <w:r w:rsidRPr="002D74BD">
        <w:rPr>
          <w:b/>
          <w:bCs/>
        </w:rPr>
        <w:t>plazmu do 2ml RNAse-free Eppendorf zkumavky</w:t>
      </w:r>
    </w:p>
    <w:p w14:paraId="77969066" w14:textId="77777777" w:rsidR="00EA3FC9" w:rsidRPr="00C07458" w:rsidRDefault="00EA3FC9" w:rsidP="00EA3FC9">
      <w:pPr>
        <w:pStyle w:val="Odstavecseseznamem"/>
        <w:tabs>
          <w:tab w:val="left" w:pos="851"/>
        </w:tabs>
        <w:spacing w:after="0" w:line="240" w:lineRule="auto"/>
        <w:ind w:left="851"/>
        <w:rPr>
          <w:i/>
          <w:iCs/>
        </w:rPr>
      </w:pPr>
      <w:r w:rsidRPr="00C07458">
        <w:rPr>
          <w:i/>
          <w:iCs/>
        </w:rPr>
        <w:lastRenderedPageBreak/>
        <w:t>při přepipetování použít RNAse-free špičky s filtrem</w:t>
      </w:r>
    </w:p>
    <w:p w14:paraId="662E8001" w14:textId="77777777" w:rsidR="00EA3FC9" w:rsidRPr="00C07458" w:rsidRDefault="00EA3FC9" w:rsidP="00EA3FC9">
      <w:pPr>
        <w:pStyle w:val="Odstavecseseznamem"/>
        <w:tabs>
          <w:tab w:val="left" w:pos="851"/>
        </w:tabs>
        <w:spacing w:after="0" w:line="240" w:lineRule="auto"/>
        <w:ind w:left="851"/>
        <w:rPr>
          <w:i/>
          <w:iCs/>
        </w:rPr>
      </w:pPr>
      <w:r w:rsidRPr="00C07458">
        <w:rPr>
          <w:i/>
          <w:iCs/>
        </w:rPr>
        <w:t>Eppendorf® Safe-Lock microcentrifuge tubes EP022363344, Merck</w:t>
      </w:r>
    </w:p>
    <w:p w14:paraId="20F19662" w14:textId="77777777" w:rsidR="00EA3FC9" w:rsidRPr="002D74BD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2D74BD">
        <w:rPr>
          <w:b/>
          <w:bCs/>
        </w:rPr>
        <w:t>zkumavky chladit na ledu</w:t>
      </w:r>
    </w:p>
    <w:p w14:paraId="6F22F648" w14:textId="69638BAF" w:rsidR="00EA3FC9" w:rsidRPr="002D74BD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2D74BD">
        <w:rPr>
          <w:b/>
          <w:bCs/>
        </w:rPr>
        <w:t>plazmu podruhé stoč</w:t>
      </w:r>
      <w:r w:rsidR="004146F9">
        <w:rPr>
          <w:b/>
          <w:bCs/>
        </w:rPr>
        <w:t>í</w:t>
      </w:r>
      <w:r w:rsidRPr="002D74BD">
        <w:rPr>
          <w:b/>
          <w:bCs/>
        </w:rPr>
        <w:t xml:space="preserve"> 3000 x g, 15 minut při 4</w:t>
      </w:r>
      <w:r>
        <w:rPr>
          <w:b/>
          <w:bCs/>
        </w:rPr>
        <w:t> </w:t>
      </w:r>
      <w:r w:rsidRPr="002D74BD">
        <w:rPr>
          <w:b/>
          <w:bCs/>
        </w:rPr>
        <w:t>°C</w:t>
      </w:r>
    </w:p>
    <w:p w14:paraId="2B4F0957" w14:textId="2AF2B781" w:rsidR="00EA3FC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2D74BD">
        <w:rPr>
          <w:b/>
          <w:bCs/>
        </w:rPr>
        <w:t xml:space="preserve">po stočení </w:t>
      </w:r>
      <w:proofErr w:type="spellStart"/>
      <w:r w:rsidRPr="002D74BD">
        <w:rPr>
          <w:b/>
          <w:bCs/>
        </w:rPr>
        <w:t>přepipet</w:t>
      </w:r>
      <w:r w:rsidR="004146F9">
        <w:rPr>
          <w:b/>
          <w:bCs/>
        </w:rPr>
        <w:t>uje</w:t>
      </w:r>
      <w:proofErr w:type="spellEnd"/>
      <w:r w:rsidRPr="002D74BD">
        <w:rPr>
          <w:b/>
          <w:bCs/>
        </w:rPr>
        <w:t xml:space="preserve"> plazmu do 2ml RNAse-free Eppendorf zkumavky</w:t>
      </w:r>
    </w:p>
    <w:p w14:paraId="122618B6" w14:textId="77777777" w:rsidR="00EA3FC9" w:rsidRPr="00C07458" w:rsidRDefault="00EA3FC9" w:rsidP="00EA3FC9">
      <w:pPr>
        <w:pStyle w:val="Odstavecseseznamem"/>
        <w:tabs>
          <w:tab w:val="left" w:pos="851"/>
        </w:tabs>
        <w:spacing w:after="0" w:line="240" w:lineRule="auto"/>
        <w:ind w:left="851"/>
        <w:rPr>
          <w:i/>
          <w:iCs/>
        </w:rPr>
      </w:pPr>
      <w:r w:rsidRPr="00C07458">
        <w:rPr>
          <w:i/>
          <w:iCs/>
        </w:rPr>
        <w:t>při přepipetování použít RNAse-free špičky s filtrem</w:t>
      </w:r>
    </w:p>
    <w:p w14:paraId="5A8ECA3E" w14:textId="77777777" w:rsidR="00EA3FC9" w:rsidRPr="00C07458" w:rsidRDefault="00EA3FC9" w:rsidP="00EA3FC9">
      <w:pPr>
        <w:pStyle w:val="Odstavecseseznamem"/>
        <w:tabs>
          <w:tab w:val="left" w:pos="851"/>
        </w:tabs>
        <w:spacing w:after="0" w:line="240" w:lineRule="auto"/>
        <w:ind w:left="851"/>
        <w:rPr>
          <w:i/>
          <w:iCs/>
        </w:rPr>
      </w:pPr>
      <w:r w:rsidRPr="00C07458">
        <w:rPr>
          <w:i/>
          <w:iCs/>
        </w:rPr>
        <w:t>Eppendorf® Safe-Lock microcentrifuge tubes EP022363344, Merck</w:t>
      </w:r>
    </w:p>
    <w:p w14:paraId="32F19B58" w14:textId="77777777" w:rsidR="00EA3FC9" w:rsidRPr="00B46B1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b/>
          <w:bCs/>
        </w:rPr>
      </w:pPr>
      <w:r w:rsidRPr="00B46B19">
        <w:rPr>
          <w:b/>
          <w:bCs/>
        </w:rPr>
        <w:t>zkumavky chladit na ledu</w:t>
      </w:r>
    </w:p>
    <w:p w14:paraId="79E14B3E" w14:textId="77777777" w:rsidR="00EA3FC9" w:rsidRPr="00B46B19" w:rsidRDefault="00EA3FC9" w:rsidP="00EA3FC9">
      <w:pPr>
        <w:pStyle w:val="Odstavecseseznamem"/>
        <w:numPr>
          <w:ilvl w:val="0"/>
          <w:numId w:val="43"/>
        </w:numPr>
        <w:tabs>
          <w:tab w:val="left" w:pos="851"/>
        </w:tabs>
        <w:spacing w:line="240" w:lineRule="auto"/>
        <w:ind w:left="850" w:hanging="425"/>
        <w:contextualSpacing w:val="0"/>
        <w:rPr>
          <w:b/>
          <w:bCs/>
        </w:rPr>
      </w:pPr>
      <w:r w:rsidRPr="00B46B19">
        <w:rPr>
          <w:b/>
          <w:bCs/>
        </w:rPr>
        <w:t>přenést do </w:t>
      </w:r>
      <w:r>
        <w:rPr>
          <w:b/>
          <w:bCs/>
        </w:rPr>
        <w:t>–</w:t>
      </w:r>
      <w:r w:rsidRPr="00B46B19">
        <w:rPr>
          <w:b/>
          <w:bCs/>
        </w:rPr>
        <w:t>80</w:t>
      </w:r>
      <w:r>
        <w:rPr>
          <w:b/>
          <w:bCs/>
        </w:rPr>
        <w:t> </w:t>
      </w:r>
      <w:r w:rsidRPr="00B46B19">
        <w:rPr>
          <w:b/>
          <w:bCs/>
        </w:rPr>
        <w:t>°C</w:t>
      </w:r>
      <w:r>
        <w:rPr>
          <w:b/>
          <w:bCs/>
        </w:rPr>
        <w:t>.</w:t>
      </w:r>
    </w:p>
    <w:p w14:paraId="53108647" w14:textId="6C83BDDC" w:rsidR="00EA3FC9" w:rsidRDefault="00EA3FC9" w:rsidP="00EA3FC9">
      <w:pPr>
        <w:tabs>
          <w:tab w:val="left" w:pos="851"/>
        </w:tabs>
        <w:spacing w:line="240" w:lineRule="auto"/>
        <w:rPr>
          <w:i/>
          <w:iCs/>
        </w:rPr>
      </w:pPr>
      <w:r>
        <w:t>Výsledkem bude uložení celkem</w:t>
      </w:r>
      <w:r w:rsidR="00D50205">
        <w:t xml:space="preserve"> maximálně</w:t>
      </w:r>
      <w:r>
        <w:t xml:space="preserve"> </w:t>
      </w:r>
      <w:r w:rsidR="00D50205">
        <w:t>7</w:t>
      </w:r>
      <w:r>
        <w:t xml:space="preserve">00 kusů 2ml zkumavek typu </w:t>
      </w:r>
      <w:r w:rsidRPr="00C07458">
        <w:rPr>
          <w:i/>
          <w:iCs/>
        </w:rPr>
        <w:t>Eppendorf® Safe-Lock microcentrifuge tubes EP022363344</w:t>
      </w:r>
      <w:r>
        <w:rPr>
          <w:i/>
          <w:iCs/>
        </w:rPr>
        <w:t xml:space="preserve">, </w:t>
      </w:r>
      <w:r>
        <w:t>v hlubokomrazícím boxu (–80 °C) po dobu trvání studie, tj. do 3</w:t>
      </w:r>
      <w:r w:rsidR="00D50205">
        <w:t>0</w:t>
      </w:r>
      <w:r>
        <w:t>.</w:t>
      </w:r>
      <w:r w:rsidR="00D50205">
        <w:t>4</w:t>
      </w:r>
      <w:r>
        <w:t>.202</w:t>
      </w:r>
      <w:r w:rsidR="00D50205">
        <w:t>7</w:t>
      </w:r>
      <w:r>
        <w:t xml:space="preserve">. </w:t>
      </w:r>
    </w:p>
    <w:p w14:paraId="3BFC3C44" w14:textId="77777777" w:rsidR="00EA3FC9" w:rsidRDefault="00EA3FC9" w:rsidP="00EA3FC9">
      <w:pPr>
        <w:tabs>
          <w:tab w:val="left" w:pos="851"/>
        </w:tabs>
        <w:spacing w:line="240" w:lineRule="auto"/>
      </w:pPr>
      <w:r>
        <w:rPr>
          <w:b/>
          <w:bCs/>
          <w:u w:val="single"/>
        </w:rPr>
        <w:t xml:space="preserve">VZORKY SE NESMÍ V ŽÁDNÉM PŘÍPADĚ ROZMRAZIT, ANI BÝT JINAK </w:t>
      </w:r>
      <w:r w:rsidRPr="00A5784C">
        <w:rPr>
          <w:b/>
          <w:bCs/>
          <w:u w:val="single"/>
        </w:rPr>
        <w:t>POŠKOZENY</w:t>
      </w:r>
      <w:r>
        <w:rPr>
          <w:b/>
          <w:bCs/>
          <w:u w:val="single"/>
        </w:rPr>
        <w:t>!</w:t>
      </w:r>
      <w:r>
        <w:t xml:space="preserve"> </w:t>
      </w:r>
    </w:p>
    <w:p w14:paraId="56A0DAD0" w14:textId="77777777" w:rsidR="00EA3FC9" w:rsidRDefault="00EA3FC9" w:rsidP="00EA3FC9">
      <w:pPr>
        <w:tabs>
          <w:tab w:val="left" w:pos="851"/>
        </w:tabs>
        <w:spacing w:line="240" w:lineRule="auto"/>
      </w:pPr>
      <w:r w:rsidRPr="00240F96">
        <w:t>Laboratoř</w:t>
      </w:r>
      <w:r>
        <w:t xml:space="preserve"> je povinna vzorky viditelně označit tak, aby nedošlo k jejich záměně. Každý vzorek musí být čitelně označen ID kódem pacienta + označením typu sledovaného cíle. Při spolupráci s lázeňskými zařízeními je třeba dbát zvýšené opatrnosti, aby nedošlo k záměně použitých kódů v rámci jednotlivých pacientů! </w:t>
      </w:r>
    </w:p>
    <w:p w14:paraId="57E97425" w14:textId="03D37CBC" w:rsidR="00220B67" w:rsidRDefault="003B473B" w:rsidP="00817886">
      <w:pPr>
        <w:tabs>
          <w:tab w:val="left" w:pos="851"/>
        </w:tabs>
        <w:spacing w:after="0" w:line="240" w:lineRule="auto"/>
      </w:pPr>
      <w:r w:rsidRPr="003B473B">
        <w:t>Převoz těchto speciálních vzorků do FGÚ bude probíhat na suchém ledu, po předchozí domluvě. Předání proběhne po shromáždění vzorků od 10 kompletních pacientů (</w:t>
      </w:r>
      <w:proofErr w:type="spellStart"/>
      <w:r w:rsidRPr="003B473B">
        <w:t>pre</w:t>
      </w:r>
      <w:proofErr w:type="spellEnd"/>
      <w:r w:rsidRPr="003B473B">
        <w:t xml:space="preserve"> i post KLP), nejpozději však 1× za 6 měsíců.</w:t>
      </w:r>
      <w:r w:rsidR="00EA3FC9">
        <w:t xml:space="preserve"> Příprava vzorku pro převoz bude hrazena laboratoří, samotnou přepravu vzorků pak bude hradit na své náklady FGÚ (bude komunikováno prostřednictvím ILaBu).</w:t>
      </w:r>
    </w:p>
    <w:sectPr w:rsidR="00220B67" w:rsidSect="0081788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BCC15" w14:textId="77777777" w:rsidR="003054D3" w:rsidRDefault="003054D3" w:rsidP="00F24658">
      <w:pPr>
        <w:spacing w:after="0" w:line="240" w:lineRule="auto"/>
      </w:pPr>
      <w:r>
        <w:separator/>
      </w:r>
    </w:p>
  </w:endnote>
  <w:endnote w:type="continuationSeparator" w:id="0">
    <w:p w14:paraId="6EDF3EDE" w14:textId="77777777" w:rsidR="003054D3" w:rsidRDefault="003054D3" w:rsidP="00F2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88764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5D5216" w14:textId="6D88995C" w:rsidR="005701AF" w:rsidRDefault="005701A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480626" w14:textId="77777777" w:rsidR="005701AF" w:rsidRDefault="005701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9DE6D" w14:textId="77777777" w:rsidR="003054D3" w:rsidRDefault="003054D3" w:rsidP="00F24658">
      <w:pPr>
        <w:spacing w:after="0" w:line="240" w:lineRule="auto"/>
      </w:pPr>
      <w:r>
        <w:separator/>
      </w:r>
    </w:p>
  </w:footnote>
  <w:footnote w:type="continuationSeparator" w:id="0">
    <w:p w14:paraId="46C4CDC8" w14:textId="77777777" w:rsidR="003054D3" w:rsidRDefault="003054D3" w:rsidP="00F24658">
      <w:pPr>
        <w:spacing w:after="0" w:line="240" w:lineRule="auto"/>
      </w:pPr>
      <w:r>
        <w:continuationSeparator/>
      </w:r>
    </w:p>
  </w:footnote>
  <w:footnote w:id="1">
    <w:p w14:paraId="3810DABA" w14:textId="0ADDEB7C" w:rsidR="00F31943" w:rsidRPr="00F31943" w:rsidRDefault="00F31943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31943">
        <w:rPr>
          <w:sz w:val="18"/>
          <w:szCs w:val="18"/>
        </w:rPr>
        <w:t xml:space="preserve">Vstupní odběry pokrývají odpadovost probandů, která může nastat v případě onemocnění během pobytu KLP, resp. nedokončení KLP a nepodstoupení výstupního odběru (vzorku). </w:t>
      </w:r>
    </w:p>
  </w:footnote>
  <w:footnote w:id="2">
    <w:p w14:paraId="13D6C1D6" w14:textId="77777777" w:rsidR="00F31943" w:rsidRPr="00F31943" w:rsidRDefault="00F31943" w:rsidP="00F31943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31943">
        <w:rPr>
          <w:sz w:val="18"/>
          <w:szCs w:val="18"/>
        </w:rPr>
        <w:t xml:space="preserve">Vstupní odběry pokrývají odpadovost probandů, která může nastat v případě onemocnění během pobytu KLP, resp. nedokončení KLP a nepodstoupení výstupního odběru (vzorku). </w:t>
      </w:r>
    </w:p>
    <w:p w14:paraId="30D6E4EB" w14:textId="77777777" w:rsidR="00F31943" w:rsidRPr="00F31943" w:rsidRDefault="00F31943" w:rsidP="00F31943">
      <w:pPr>
        <w:pStyle w:val="Textpoznpodarou"/>
        <w:rPr>
          <w:sz w:val="18"/>
          <w:szCs w:val="18"/>
        </w:rPr>
      </w:pPr>
    </w:p>
    <w:p w14:paraId="26656E0A" w14:textId="3F18CB5C" w:rsidR="00F31943" w:rsidRDefault="00F3194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D690" w14:textId="6696DA0E" w:rsidR="00F24658" w:rsidRDefault="005701AF">
    <w:pPr>
      <w:pStyle w:val="Zhlav"/>
    </w:pPr>
    <w:r w:rsidRPr="00FB195E">
      <w:rPr>
        <w:noProof/>
      </w:rPr>
      <w:drawing>
        <wp:inline distT="0" distB="0" distL="0" distR="0" wp14:anchorId="443843F2" wp14:editId="3D93743B">
          <wp:extent cx="5759450" cy="418465"/>
          <wp:effectExtent l="0" t="0" r="0" b="635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A63AF" w14:textId="77777777" w:rsidR="005701AF" w:rsidRDefault="005701AF">
    <w:pPr>
      <w:pStyle w:val="Zhlav"/>
    </w:pPr>
  </w:p>
  <w:p w14:paraId="5F795796" w14:textId="74E63207" w:rsidR="005701AF" w:rsidRPr="00270DF0" w:rsidRDefault="005701AF">
    <w:pPr>
      <w:pStyle w:val="Zhlav"/>
      <w:rPr>
        <w:rFonts w:ascii="Arial" w:hAnsi="Arial" w:cs="Arial"/>
        <w:sz w:val="18"/>
        <w:szCs w:val="18"/>
      </w:rPr>
    </w:pPr>
    <w:r w:rsidRPr="00270DF0">
      <w:rPr>
        <w:rFonts w:ascii="Arial" w:hAnsi="Arial" w:cs="Arial"/>
        <w:sz w:val="18"/>
        <w:szCs w:val="18"/>
      </w:rPr>
      <w:t>Příloha č. 4 ZD – Specifikace laboratorních služeb – 1 část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F84"/>
    <w:multiLevelType w:val="hybridMultilevel"/>
    <w:tmpl w:val="A15E04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EDB"/>
    <w:multiLevelType w:val="hybridMultilevel"/>
    <w:tmpl w:val="C74A1232"/>
    <w:lvl w:ilvl="0" w:tplc="278EE69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8EE3C0E"/>
    <w:multiLevelType w:val="multilevel"/>
    <w:tmpl w:val="2C2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36FC1"/>
    <w:multiLevelType w:val="multilevel"/>
    <w:tmpl w:val="3160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B6B20"/>
    <w:multiLevelType w:val="multilevel"/>
    <w:tmpl w:val="DA6C09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E9B0790"/>
    <w:multiLevelType w:val="hybridMultilevel"/>
    <w:tmpl w:val="65A83F7A"/>
    <w:lvl w:ilvl="0" w:tplc="693A701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" w15:restartNumberingAfterBreak="0">
    <w:nsid w:val="14CA4EC0"/>
    <w:multiLevelType w:val="multilevel"/>
    <w:tmpl w:val="E54A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5905D7"/>
    <w:multiLevelType w:val="hybridMultilevel"/>
    <w:tmpl w:val="AE5C945C"/>
    <w:lvl w:ilvl="0" w:tplc="969C5CF6">
      <w:start w:val="28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10279"/>
    <w:multiLevelType w:val="hybridMultilevel"/>
    <w:tmpl w:val="89FAD3E6"/>
    <w:lvl w:ilvl="0" w:tplc="D83643A6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5469D4"/>
    <w:multiLevelType w:val="multilevel"/>
    <w:tmpl w:val="8A96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04C2A"/>
    <w:multiLevelType w:val="hybridMultilevel"/>
    <w:tmpl w:val="DB3E6ACE"/>
    <w:lvl w:ilvl="0" w:tplc="D8026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FD01F7"/>
    <w:multiLevelType w:val="multilevel"/>
    <w:tmpl w:val="128C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AB0635"/>
    <w:multiLevelType w:val="hybridMultilevel"/>
    <w:tmpl w:val="30105BE6"/>
    <w:lvl w:ilvl="0" w:tplc="DD00F492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F0245"/>
    <w:multiLevelType w:val="multilevel"/>
    <w:tmpl w:val="5FE6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E90089"/>
    <w:multiLevelType w:val="multilevel"/>
    <w:tmpl w:val="5B4E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864A8"/>
    <w:multiLevelType w:val="hybridMultilevel"/>
    <w:tmpl w:val="6A5A8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339BC"/>
    <w:multiLevelType w:val="multilevel"/>
    <w:tmpl w:val="678A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E86FFF"/>
    <w:multiLevelType w:val="multilevel"/>
    <w:tmpl w:val="D258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72352D"/>
    <w:multiLevelType w:val="multilevel"/>
    <w:tmpl w:val="68AC1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6024F1"/>
    <w:multiLevelType w:val="hybridMultilevel"/>
    <w:tmpl w:val="3F4A5840"/>
    <w:lvl w:ilvl="0" w:tplc="7CCADC76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B0090"/>
    <w:multiLevelType w:val="hybridMultilevel"/>
    <w:tmpl w:val="03CA9FDE"/>
    <w:lvl w:ilvl="0" w:tplc="01686BAC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3EA912C9"/>
    <w:multiLevelType w:val="multilevel"/>
    <w:tmpl w:val="B3B2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243072"/>
    <w:multiLevelType w:val="multilevel"/>
    <w:tmpl w:val="A90C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603FC0"/>
    <w:multiLevelType w:val="hybridMultilevel"/>
    <w:tmpl w:val="83AA9A28"/>
    <w:lvl w:ilvl="0" w:tplc="8A98619E">
      <w:start w:val="1"/>
      <w:numFmt w:val="bullet"/>
      <w:lvlText w:val="-"/>
      <w:lvlJc w:val="left"/>
      <w:pPr>
        <w:ind w:left="361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4" w15:restartNumberingAfterBreak="0">
    <w:nsid w:val="4B3B679D"/>
    <w:multiLevelType w:val="multilevel"/>
    <w:tmpl w:val="99C8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9B46D4"/>
    <w:multiLevelType w:val="multilevel"/>
    <w:tmpl w:val="F398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B90602"/>
    <w:multiLevelType w:val="hybridMultilevel"/>
    <w:tmpl w:val="7B84D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96AB7"/>
    <w:multiLevelType w:val="multilevel"/>
    <w:tmpl w:val="9966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4C7447"/>
    <w:multiLevelType w:val="hybridMultilevel"/>
    <w:tmpl w:val="D10422EE"/>
    <w:lvl w:ilvl="0" w:tplc="DD06AE94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04201"/>
    <w:multiLevelType w:val="hybridMultilevel"/>
    <w:tmpl w:val="03CA9FDE"/>
    <w:lvl w:ilvl="0" w:tplc="FFFFFFFF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1" w:hanging="360"/>
      </w:pPr>
    </w:lvl>
    <w:lvl w:ilvl="2" w:tplc="FFFFFFFF" w:tentative="1">
      <w:start w:val="1"/>
      <w:numFmt w:val="lowerRoman"/>
      <w:lvlText w:val="%3."/>
      <w:lvlJc w:val="right"/>
      <w:pPr>
        <w:ind w:left="1801" w:hanging="180"/>
      </w:pPr>
    </w:lvl>
    <w:lvl w:ilvl="3" w:tplc="FFFFFFFF" w:tentative="1">
      <w:start w:val="1"/>
      <w:numFmt w:val="decimal"/>
      <w:lvlText w:val="%4."/>
      <w:lvlJc w:val="left"/>
      <w:pPr>
        <w:ind w:left="2521" w:hanging="360"/>
      </w:pPr>
    </w:lvl>
    <w:lvl w:ilvl="4" w:tplc="FFFFFFFF" w:tentative="1">
      <w:start w:val="1"/>
      <w:numFmt w:val="lowerLetter"/>
      <w:lvlText w:val="%5."/>
      <w:lvlJc w:val="left"/>
      <w:pPr>
        <w:ind w:left="3241" w:hanging="360"/>
      </w:pPr>
    </w:lvl>
    <w:lvl w:ilvl="5" w:tplc="FFFFFFFF" w:tentative="1">
      <w:start w:val="1"/>
      <w:numFmt w:val="lowerRoman"/>
      <w:lvlText w:val="%6."/>
      <w:lvlJc w:val="right"/>
      <w:pPr>
        <w:ind w:left="3961" w:hanging="180"/>
      </w:pPr>
    </w:lvl>
    <w:lvl w:ilvl="6" w:tplc="FFFFFFFF" w:tentative="1">
      <w:start w:val="1"/>
      <w:numFmt w:val="decimal"/>
      <w:lvlText w:val="%7."/>
      <w:lvlJc w:val="left"/>
      <w:pPr>
        <w:ind w:left="4681" w:hanging="360"/>
      </w:pPr>
    </w:lvl>
    <w:lvl w:ilvl="7" w:tplc="FFFFFFFF" w:tentative="1">
      <w:start w:val="1"/>
      <w:numFmt w:val="lowerLetter"/>
      <w:lvlText w:val="%8."/>
      <w:lvlJc w:val="left"/>
      <w:pPr>
        <w:ind w:left="5401" w:hanging="360"/>
      </w:pPr>
    </w:lvl>
    <w:lvl w:ilvl="8" w:tplc="FFFFFFFF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0" w15:restartNumberingAfterBreak="0">
    <w:nsid w:val="50050D07"/>
    <w:multiLevelType w:val="multilevel"/>
    <w:tmpl w:val="DC80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26156A"/>
    <w:multiLevelType w:val="multilevel"/>
    <w:tmpl w:val="5856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BF44BB"/>
    <w:multiLevelType w:val="multilevel"/>
    <w:tmpl w:val="D512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282274"/>
    <w:multiLevelType w:val="multilevel"/>
    <w:tmpl w:val="F0C6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0B2A1A"/>
    <w:multiLevelType w:val="hybridMultilevel"/>
    <w:tmpl w:val="E68ABDBA"/>
    <w:lvl w:ilvl="0" w:tplc="95C05908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A25A9"/>
    <w:multiLevelType w:val="multilevel"/>
    <w:tmpl w:val="1F36A1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556463"/>
    <w:multiLevelType w:val="multilevel"/>
    <w:tmpl w:val="E2B0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8F0FDD"/>
    <w:multiLevelType w:val="multilevel"/>
    <w:tmpl w:val="74E6F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C16214"/>
    <w:multiLevelType w:val="multilevel"/>
    <w:tmpl w:val="B260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864383"/>
    <w:multiLevelType w:val="hybridMultilevel"/>
    <w:tmpl w:val="63645B9A"/>
    <w:lvl w:ilvl="0" w:tplc="42144A4A">
      <w:start w:val="3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B095ED3"/>
    <w:multiLevelType w:val="multilevel"/>
    <w:tmpl w:val="245C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954A8D"/>
    <w:multiLevelType w:val="multilevel"/>
    <w:tmpl w:val="7534B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CC272E0"/>
    <w:multiLevelType w:val="hybridMultilevel"/>
    <w:tmpl w:val="B43602A0"/>
    <w:lvl w:ilvl="0" w:tplc="B7BAFAF2">
      <w:numFmt w:val="bullet"/>
      <w:lvlText w:val="-"/>
      <w:lvlJc w:val="left"/>
      <w:pPr>
        <w:ind w:left="2061" w:hanging="360"/>
      </w:pPr>
      <w:rPr>
        <w:rFonts w:ascii="Aptos" w:eastAsia="Times New Roman" w:hAnsi="Apto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D1852CF"/>
    <w:multiLevelType w:val="multilevel"/>
    <w:tmpl w:val="26E0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F3723D"/>
    <w:multiLevelType w:val="multilevel"/>
    <w:tmpl w:val="CCDC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6699491">
    <w:abstractNumId w:val="30"/>
  </w:num>
  <w:num w:numId="2" w16cid:durableId="1162937611">
    <w:abstractNumId w:val="14"/>
  </w:num>
  <w:num w:numId="3" w16cid:durableId="1519156465">
    <w:abstractNumId w:val="6"/>
  </w:num>
  <w:num w:numId="4" w16cid:durableId="51738581">
    <w:abstractNumId w:val="40"/>
  </w:num>
  <w:num w:numId="5" w16cid:durableId="99494328">
    <w:abstractNumId w:val="36"/>
  </w:num>
  <w:num w:numId="6" w16cid:durableId="1260524609">
    <w:abstractNumId w:val="16"/>
  </w:num>
  <w:num w:numId="7" w16cid:durableId="1834447411">
    <w:abstractNumId w:val="17"/>
  </w:num>
  <w:num w:numId="8" w16cid:durableId="731192680">
    <w:abstractNumId w:val="33"/>
  </w:num>
  <w:num w:numId="9" w16cid:durableId="1851874188">
    <w:abstractNumId w:val="44"/>
  </w:num>
  <w:num w:numId="10" w16cid:durableId="1843547340">
    <w:abstractNumId w:val="24"/>
  </w:num>
  <w:num w:numId="11" w16cid:durableId="951942409">
    <w:abstractNumId w:val="43"/>
  </w:num>
  <w:num w:numId="12" w16cid:durableId="569315043">
    <w:abstractNumId w:val="2"/>
  </w:num>
  <w:num w:numId="13" w16cid:durableId="1100876601">
    <w:abstractNumId w:val="21"/>
  </w:num>
  <w:num w:numId="14" w16cid:durableId="362484834">
    <w:abstractNumId w:val="22"/>
  </w:num>
  <w:num w:numId="15" w16cid:durableId="1395549409">
    <w:abstractNumId w:val="11"/>
  </w:num>
  <w:num w:numId="16" w16cid:durableId="1349673671">
    <w:abstractNumId w:val="31"/>
  </w:num>
  <w:num w:numId="17" w16cid:durableId="2013138838">
    <w:abstractNumId w:val="37"/>
  </w:num>
  <w:num w:numId="18" w16cid:durableId="1620917427">
    <w:abstractNumId w:val="9"/>
  </w:num>
  <w:num w:numId="19" w16cid:durableId="146284565">
    <w:abstractNumId w:val="27"/>
  </w:num>
  <w:num w:numId="20" w16cid:durableId="74789249">
    <w:abstractNumId w:val="38"/>
  </w:num>
  <w:num w:numId="21" w16cid:durableId="1908415060">
    <w:abstractNumId w:val="32"/>
  </w:num>
  <w:num w:numId="22" w16cid:durableId="628897673">
    <w:abstractNumId w:val="25"/>
  </w:num>
  <w:num w:numId="23" w16cid:durableId="960500023">
    <w:abstractNumId w:val="18"/>
  </w:num>
  <w:num w:numId="24" w16cid:durableId="1648900061">
    <w:abstractNumId w:val="13"/>
  </w:num>
  <w:num w:numId="25" w16cid:durableId="1646352863">
    <w:abstractNumId w:val="0"/>
  </w:num>
  <w:num w:numId="26" w16cid:durableId="1303264952">
    <w:abstractNumId w:val="10"/>
  </w:num>
  <w:num w:numId="27" w16cid:durableId="1797790184">
    <w:abstractNumId w:val="3"/>
  </w:num>
  <w:num w:numId="28" w16cid:durableId="1111507997">
    <w:abstractNumId w:val="26"/>
  </w:num>
  <w:num w:numId="29" w16cid:durableId="162739981">
    <w:abstractNumId w:val="35"/>
  </w:num>
  <w:num w:numId="30" w16cid:durableId="258755281">
    <w:abstractNumId w:val="4"/>
  </w:num>
  <w:num w:numId="31" w16cid:durableId="2016034711">
    <w:abstractNumId w:val="5"/>
  </w:num>
  <w:num w:numId="32" w16cid:durableId="1738358844">
    <w:abstractNumId w:val="28"/>
  </w:num>
  <w:num w:numId="33" w16cid:durableId="113184113">
    <w:abstractNumId w:val="34"/>
  </w:num>
  <w:num w:numId="34" w16cid:durableId="2105301377">
    <w:abstractNumId w:val="12"/>
  </w:num>
  <w:num w:numId="35" w16cid:durableId="1268777221">
    <w:abstractNumId w:val="19"/>
  </w:num>
  <w:num w:numId="36" w16cid:durableId="986084234">
    <w:abstractNumId w:val="41"/>
  </w:num>
  <w:num w:numId="37" w16cid:durableId="205535007">
    <w:abstractNumId w:val="8"/>
  </w:num>
  <w:num w:numId="38" w16cid:durableId="823159101">
    <w:abstractNumId w:val="39"/>
  </w:num>
  <w:num w:numId="39" w16cid:durableId="1721123879">
    <w:abstractNumId w:val="42"/>
  </w:num>
  <w:num w:numId="40" w16cid:durableId="611783525">
    <w:abstractNumId w:val="15"/>
  </w:num>
  <w:num w:numId="41" w16cid:durableId="2072461783">
    <w:abstractNumId w:val="1"/>
  </w:num>
  <w:num w:numId="42" w16cid:durableId="626815106">
    <w:abstractNumId w:val="20"/>
  </w:num>
  <w:num w:numId="43" w16cid:durableId="1189371448">
    <w:abstractNumId w:val="23"/>
  </w:num>
  <w:num w:numId="44" w16cid:durableId="1869366629">
    <w:abstractNumId w:val="29"/>
  </w:num>
  <w:num w:numId="45" w16cid:durableId="1709913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41"/>
    <w:rsid w:val="000308B2"/>
    <w:rsid w:val="000E0A40"/>
    <w:rsid w:val="000F093E"/>
    <w:rsid w:val="00106CF2"/>
    <w:rsid w:val="00130EDE"/>
    <w:rsid w:val="001503F0"/>
    <w:rsid w:val="00191841"/>
    <w:rsid w:val="001A32F1"/>
    <w:rsid w:val="001A7827"/>
    <w:rsid w:val="001C0B59"/>
    <w:rsid w:val="00220B67"/>
    <w:rsid w:val="002238B5"/>
    <w:rsid w:val="00270DF0"/>
    <w:rsid w:val="002711C5"/>
    <w:rsid w:val="00276407"/>
    <w:rsid w:val="002E2DA1"/>
    <w:rsid w:val="002F3AA7"/>
    <w:rsid w:val="003054D3"/>
    <w:rsid w:val="00310C1F"/>
    <w:rsid w:val="00317D2A"/>
    <w:rsid w:val="00322107"/>
    <w:rsid w:val="00334D94"/>
    <w:rsid w:val="003538C3"/>
    <w:rsid w:val="003B473B"/>
    <w:rsid w:val="003B5D7A"/>
    <w:rsid w:val="004146F9"/>
    <w:rsid w:val="00414BFC"/>
    <w:rsid w:val="00424C4D"/>
    <w:rsid w:val="00453C74"/>
    <w:rsid w:val="00482747"/>
    <w:rsid w:val="00537DDE"/>
    <w:rsid w:val="00537F93"/>
    <w:rsid w:val="005701AF"/>
    <w:rsid w:val="005E0D26"/>
    <w:rsid w:val="00617E1E"/>
    <w:rsid w:val="00622D81"/>
    <w:rsid w:val="006455B1"/>
    <w:rsid w:val="006558D5"/>
    <w:rsid w:val="006958E3"/>
    <w:rsid w:val="00727664"/>
    <w:rsid w:val="00750766"/>
    <w:rsid w:val="0075575F"/>
    <w:rsid w:val="007B0475"/>
    <w:rsid w:val="007D573C"/>
    <w:rsid w:val="00817886"/>
    <w:rsid w:val="008225DC"/>
    <w:rsid w:val="0084599F"/>
    <w:rsid w:val="008F0FA2"/>
    <w:rsid w:val="009621D1"/>
    <w:rsid w:val="009C4EF7"/>
    <w:rsid w:val="00A264C2"/>
    <w:rsid w:val="00A62956"/>
    <w:rsid w:val="00A81312"/>
    <w:rsid w:val="00AB20C0"/>
    <w:rsid w:val="00B11B71"/>
    <w:rsid w:val="00B70817"/>
    <w:rsid w:val="00BC59A0"/>
    <w:rsid w:val="00BE0EFA"/>
    <w:rsid w:val="00C14BA3"/>
    <w:rsid w:val="00C85F80"/>
    <w:rsid w:val="00CB1040"/>
    <w:rsid w:val="00CD2101"/>
    <w:rsid w:val="00D13A16"/>
    <w:rsid w:val="00D50205"/>
    <w:rsid w:val="00DA15A2"/>
    <w:rsid w:val="00DC721F"/>
    <w:rsid w:val="00E32436"/>
    <w:rsid w:val="00E7677C"/>
    <w:rsid w:val="00EA3FC9"/>
    <w:rsid w:val="00EB6AE3"/>
    <w:rsid w:val="00F1385E"/>
    <w:rsid w:val="00F24658"/>
    <w:rsid w:val="00F31943"/>
    <w:rsid w:val="00F63882"/>
    <w:rsid w:val="00FD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B3B8"/>
  <w15:chartTrackingRefBased/>
  <w15:docId w15:val="{4111DC36-7262-464E-8586-B7CC49F3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FC9"/>
    <w:pPr>
      <w:spacing w:after="120" w:line="264" w:lineRule="auto"/>
      <w:jc w:val="both"/>
    </w:pPr>
    <w:rPr>
      <w:rFonts w:eastAsia="Times New Roman" w:cs="Times New Roman"/>
      <w:color w:val="000000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91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1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1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1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1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1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1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1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1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1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1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91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1918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18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18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18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18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18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1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qFormat/>
    <w:rsid w:val="00191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1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1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1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18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99"/>
    <w:qFormat/>
    <w:rsid w:val="001918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918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1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18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184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2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658"/>
  </w:style>
  <w:style w:type="paragraph" w:styleId="Zpat">
    <w:name w:val="footer"/>
    <w:basedOn w:val="Normln"/>
    <w:link w:val="ZpatChar"/>
    <w:uiPriority w:val="99"/>
    <w:unhideWhenUsed/>
    <w:rsid w:val="00F2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658"/>
  </w:style>
  <w:style w:type="paragraph" w:styleId="Normlnweb">
    <w:name w:val="Normal (Web)"/>
    <w:basedOn w:val="Normln"/>
    <w:uiPriority w:val="99"/>
    <w:semiHidden/>
    <w:unhideWhenUsed/>
    <w:rsid w:val="00EA3FC9"/>
    <w:pPr>
      <w:spacing w:before="100" w:beforeAutospacing="1" w:after="100" w:afterAutospacing="1"/>
    </w:pPr>
    <w:rPr>
      <w:rFonts w:ascii="Times New Roman" w:hAnsi="Times New Roman"/>
    </w:rPr>
  </w:style>
  <w:style w:type="character" w:styleId="Siln">
    <w:name w:val="Strong"/>
    <w:basedOn w:val="Standardnpsmoodstavce"/>
    <w:uiPriority w:val="22"/>
    <w:qFormat/>
    <w:rsid w:val="00EA3FC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A3F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3F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3FC9"/>
    <w:rPr>
      <w:rFonts w:eastAsia="Times New Roman" w:cs="Times New Roman"/>
      <w:color w:val="000000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3F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3FC9"/>
    <w:rPr>
      <w:rFonts w:eastAsia="Times New Roman" w:cs="Times New Roman"/>
      <w:b/>
      <w:bCs/>
      <w:color w:val="000000"/>
      <w:kern w:val="0"/>
      <w:sz w:val="20"/>
      <w:szCs w:val="20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EA3FC9"/>
    <w:rPr>
      <w:color w:val="666666"/>
    </w:rPr>
  </w:style>
  <w:style w:type="paragraph" w:styleId="Revize">
    <w:name w:val="Revision"/>
    <w:hidden/>
    <w:uiPriority w:val="99"/>
    <w:semiHidden/>
    <w:rsid w:val="00EA3FC9"/>
    <w:pPr>
      <w:spacing w:after="0" w:line="240" w:lineRule="auto"/>
    </w:pPr>
    <w:rPr>
      <w:rFonts w:eastAsia="Times New Roman" w:cs="Times New Roman"/>
      <w:color w:val="000000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A3FC9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3FC9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A3FC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194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1943"/>
    <w:rPr>
      <w:rFonts w:eastAsia="Times New Roman" w:cs="Times New Roman"/>
      <w:color w:val="000000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F31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F74617-6E5F-43CF-9F9C-E22A438904C8}"/>
</file>

<file path=customXml/itemProps2.xml><?xml version="1.0" encoding="utf-8"?>
<ds:datastoreItem xmlns:ds="http://schemas.openxmlformats.org/officeDocument/2006/customXml" ds:itemID="{54268B19-949F-49FB-9A20-A6179054D1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291868-3D59-4ADF-A55B-C4D5CA1999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5FDDDA-1A5C-48F8-9AB5-11171382D77B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1745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Mgr. Darja Kosmáková | Advientender</cp:lastModifiedBy>
  <cp:revision>30</cp:revision>
  <dcterms:created xsi:type="dcterms:W3CDTF">2025-01-24T07:32:00Z</dcterms:created>
  <dcterms:modified xsi:type="dcterms:W3CDTF">2025-11-05T09:52:00Z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